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19" w:rsidRPr="002F5D09" w:rsidRDefault="00011319" w:rsidP="00011319">
      <w:pPr>
        <w:spacing w:before="60" w:after="60"/>
        <w:jc w:val="center"/>
        <w:rPr>
          <w:sz w:val="32"/>
          <w:szCs w:val="32"/>
        </w:rPr>
      </w:pPr>
      <w:bookmarkStart w:id="0" w:name="_GoBack"/>
      <w:bookmarkEnd w:id="0"/>
      <w:r w:rsidRPr="00011319">
        <w:rPr>
          <w:rFonts w:cs="Arial"/>
          <w:b/>
          <w:bCs/>
          <w:color w:val="008000"/>
          <w:sz w:val="32"/>
          <w:szCs w:val="32"/>
        </w:rPr>
        <w:t xml:space="preserve">Effect of </w:t>
      </w:r>
      <w:r w:rsidRPr="00011319">
        <w:rPr>
          <w:rFonts w:cs="Arial"/>
          <w:b/>
          <w:bCs/>
          <w:i/>
          <w:iCs/>
          <w:color w:val="008000"/>
          <w:sz w:val="32"/>
          <w:szCs w:val="32"/>
        </w:rPr>
        <w:t>n</w:t>
      </w:r>
      <w:r w:rsidRPr="00011319">
        <w:rPr>
          <w:rFonts w:cs="Arial"/>
          <w:b/>
          <w:bCs/>
          <w:i/>
          <w:iCs/>
          <w:color w:val="008000"/>
          <w:sz w:val="32"/>
          <w:szCs w:val="32"/>
          <w:vertAlign w:val="subscript"/>
        </w:rPr>
        <w:t>1</w:t>
      </w:r>
      <w:r w:rsidRPr="00011319">
        <w:rPr>
          <w:rFonts w:cs="Arial"/>
          <w:b/>
          <w:bCs/>
          <w:color w:val="008000"/>
          <w:sz w:val="32"/>
          <w:szCs w:val="32"/>
        </w:rPr>
        <w:t>/</w:t>
      </w:r>
      <w:r w:rsidRPr="00011319">
        <w:rPr>
          <w:rFonts w:cs="Arial"/>
          <w:b/>
          <w:bCs/>
          <w:i/>
          <w:iCs/>
          <w:color w:val="008000"/>
          <w:sz w:val="32"/>
          <w:szCs w:val="32"/>
        </w:rPr>
        <w:t>n</w:t>
      </w:r>
      <w:r w:rsidRPr="00011319">
        <w:rPr>
          <w:rFonts w:cs="Arial"/>
          <w:b/>
          <w:bCs/>
          <w:i/>
          <w:iCs/>
          <w:color w:val="008000"/>
          <w:sz w:val="32"/>
          <w:szCs w:val="32"/>
          <w:vertAlign w:val="subscript"/>
        </w:rPr>
        <w:t>2</w:t>
      </w:r>
      <w:r w:rsidRPr="00011319">
        <w:rPr>
          <w:rFonts w:cs="Arial"/>
          <w:b/>
          <w:bCs/>
          <w:color w:val="008000"/>
          <w:sz w:val="32"/>
          <w:szCs w:val="32"/>
        </w:rPr>
        <w:t xml:space="preserve"> on Estimated </w:t>
      </w:r>
      <w:r w:rsidRPr="00011319">
        <w:rPr>
          <w:rFonts w:cs="Arial"/>
          <w:b/>
          <w:bCs/>
          <w:i/>
          <w:iCs/>
          <w:color w:val="008000"/>
          <w:sz w:val="32"/>
          <w:szCs w:val="32"/>
        </w:rPr>
        <w:t>d</w:t>
      </w:r>
      <w:r w:rsidRPr="00011319">
        <w:rPr>
          <w:rFonts w:cs="Arial"/>
          <w:b/>
          <w:bCs/>
          <w:color w:val="008000"/>
          <w:sz w:val="32"/>
          <w:szCs w:val="32"/>
        </w:rPr>
        <w:t xml:space="preserve"> and </w:t>
      </w:r>
      <w:r w:rsidRPr="00011319">
        <w:rPr>
          <w:rFonts w:cs="Arial"/>
          <w:b/>
          <w:bCs/>
          <w:i/>
          <w:iCs/>
          <w:color w:val="008000"/>
          <w:sz w:val="32"/>
          <w:szCs w:val="32"/>
        </w:rPr>
        <w:t>r</w:t>
      </w:r>
      <w:r w:rsidRPr="00011319">
        <w:rPr>
          <w:rFonts w:cs="Arial"/>
          <w:b/>
          <w:bCs/>
          <w:i/>
          <w:iCs/>
          <w:color w:val="008000"/>
          <w:sz w:val="32"/>
          <w:szCs w:val="32"/>
          <w:vertAlign w:val="subscript"/>
        </w:rPr>
        <w:t>pb</w:t>
      </w:r>
      <w:r w:rsidR="002F5D09">
        <w:rPr>
          <w:rFonts w:cs="Arial"/>
          <w:b/>
          <w:bCs/>
          <w:iCs/>
          <w:color w:val="008000"/>
          <w:sz w:val="32"/>
          <w:szCs w:val="32"/>
        </w:rPr>
        <w:t>:  Case in Point</w:t>
      </w:r>
    </w:p>
    <w:p w:rsidR="002F5D09" w:rsidRDefault="002F5D09" w:rsidP="00F64B7D">
      <w:pPr>
        <w:spacing w:before="60" w:after="60"/>
      </w:pPr>
      <w:r>
        <w:pict>
          <v:rect id="_x0000_i1025" style="width:0;height:1.5pt" o:hralign="center" o:hrstd="t" o:hr="t" fillcolor="#aca899" stroked="f"/>
        </w:pict>
      </w:r>
    </w:p>
    <w:p w:rsidR="00E35BBD" w:rsidRDefault="00CD1D14" w:rsidP="00F64B7D">
      <w:pPr>
        <w:spacing w:before="60" w:after="60"/>
      </w:pPr>
      <w:r>
        <w:tab/>
        <w:t>Jenna Hartinger found a significant correlation between scores on the WART (a continuous measure of workaholism) and self-report of family history of high cholesterol (dichotomous, no or yes)</w:t>
      </w:r>
      <w:r w:rsidR="0096688A">
        <w:t xml:space="preserve">.  She reported the point-biserial </w:t>
      </w:r>
      <w:r w:rsidR="0096688A" w:rsidRPr="0096688A">
        <w:rPr>
          <w:i/>
        </w:rPr>
        <w:t>r</w:t>
      </w:r>
      <w:r w:rsidR="0096688A">
        <w:t xml:space="preserve">, which was .22.  By the usual conventions for interpreting </w:t>
      </w:r>
      <w:r w:rsidR="0096688A" w:rsidRPr="0096688A">
        <w:rPr>
          <w:i/>
        </w:rPr>
        <w:t>r</w:t>
      </w:r>
      <w:r w:rsidR="0096688A">
        <w:t xml:space="preserve">, this would be considered to be a small (.1) to medium (.3) sized correlation.  One should, however, consider the fact that the value of the point biserial </w:t>
      </w:r>
      <w:r w:rsidR="0096688A" w:rsidRPr="004F2E8F">
        <w:rPr>
          <w:i/>
        </w:rPr>
        <w:t>r</w:t>
      </w:r>
      <w:r w:rsidR="0096688A">
        <w:t xml:space="preserve"> is greatly influenced by the ratio of the sample sizes.  When there are a lot more scores at the one level of the </w:t>
      </w:r>
      <w:r w:rsidR="00B6382D">
        <w:t>dichotomous</w:t>
      </w:r>
      <w:r w:rsidR="0096688A">
        <w:t xml:space="preserve"> variable than at the other level, the value of </w:t>
      </w:r>
      <w:r w:rsidR="0096688A" w:rsidRPr="0096688A">
        <w:rPr>
          <w:i/>
        </w:rPr>
        <w:t>r</w:t>
      </w:r>
      <w:r w:rsidR="0096688A">
        <w:t xml:space="preserve"> is depressed.</w:t>
      </w:r>
      <w:r w:rsidR="004144DC">
        <w:t xml:space="preserve">  Estimated Cohen’s </w:t>
      </w:r>
      <w:r w:rsidR="004144DC" w:rsidRPr="004144DC">
        <w:rPr>
          <w:i/>
        </w:rPr>
        <w:t>d</w:t>
      </w:r>
      <w:r w:rsidR="004144DC">
        <w:t xml:space="preserve"> (the standardized difference in means) might be a better way to express the magnitude of the relationship between a dichotomous variable and a continuous variable.  For Jenna’s data,</w:t>
      </w:r>
      <w:r w:rsidR="004F2E8F">
        <w:t xml:space="preserve"> notice that there are nearly 2.5 times more respondents reporting no family history of high cholesterol than there are reporting such a history.</w:t>
      </w:r>
    </w:p>
    <w:p w:rsidR="004144DC" w:rsidRPr="004144DC" w:rsidRDefault="004144DC" w:rsidP="004144DC">
      <w:pPr>
        <w:overflowPunct/>
        <w:spacing w:after="0"/>
        <w:textAlignment w:val="auto"/>
        <w:rPr>
          <w:rFonts w:ascii="Times New Roman" w:hAnsi="Times New Roman"/>
          <w:szCs w:val="24"/>
        </w:rPr>
      </w:pPr>
    </w:p>
    <w:tbl>
      <w:tblPr>
        <w:tblW w:w="8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430"/>
        <w:gridCol w:w="734"/>
        <w:gridCol w:w="1020"/>
        <w:gridCol w:w="1019"/>
        <w:gridCol w:w="1441"/>
        <w:gridCol w:w="1469"/>
      </w:tblGrid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FAMCHOL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 xml:space="preserve">Work Addiction Risk </w:t>
            </w:r>
          </w:p>
        </w:tc>
        <w:tc>
          <w:tcPr>
            <w:tcW w:w="43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2"/>
                <w:szCs w:val="2"/>
              </w:rPr>
            </w:pPr>
            <w:r w:rsidRPr="004144DC">
              <w:rPr>
                <w:rFonts w:cs="Arial"/>
                <w:color w:val="000000"/>
                <w:sz w:val="2"/>
                <w:szCs w:val="2"/>
              </w:rPr>
              <w:t>dimension1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2.5653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.38354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.03242</w:t>
            </w:r>
          </w:p>
        </w:tc>
      </w:tr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44DC" w:rsidRPr="004144DC" w:rsidRDefault="004144DC" w:rsidP="004144DC">
            <w:pPr>
              <w:overflowPunct/>
              <w:spacing w:after="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2.7492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.32811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.04385</w:t>
            </w:r>
          </w:p>
        </w:tc>
      </w:tr>
    </w:tbl>
    <w:p w:rsidR="004144DC" w:rsidRPr="004144DC" w:rsidRDefault="004144DC" w:rsidP="004144DC">
      <w:pPr>
        <w:overflowPunct/>
        <w:spacing w:after="0" w:line="400" w:lineRule="atLeast"/>
        <w:textAlignment w:val="auto"/>
        <w:rPr>
          <w:rFonts w:ascii="Times New Roman" w:hAnsi="Times New Roman"/>
          <w:szCs w:val="24"/>
        </w:rPr>
      </w:pPr>
    </w:p>
    <w:p w:rsidR="004144DC" w:rsidRPr="004144DC" w:rsidRDefault="004144DC" w:rsidP="004144DC">
      <w:pPr>
        <w:overflowPunct/>
        <w:spacing w:after="0"/>
        <w:textAlignment w:val="auto"/>
        <w:rPr>
          <w:rFonts w:ascii="Times New Roman" w:hAnsi="Times New Roman"/>
          <w:szCs w:val="24"/>
        </w:rPr>
      </w:pPr>
    </w:p>
    <w:tbl>
      <w:tblPr>
        <w:tblW w:w="7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2448"/>
        <w:gridCol w:w="1019"/>
        <w:gridCol w:w="1018"/>
        <w:gridCol w:w="1410"/>
      </w:tblGrid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0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44DC" w:rsidRPr="004144DC" w:rsidRDefault="004144DC" w:rsidP="004144DC">
            <w:pPr>
              <w:overflowPunct/>
              <w:spacing w:after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46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44DC" w:rsidRPr="004144DC" w:rsidRDefault="004144DC" w:rsidP="004144DC">
            <w:pPr>
              <w:overflowPunct/>
              <w:spacing w:after="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 xml:space="preserve">Work Addiction Risk 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-3.154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.002</w:t>
            </w:r>
          </w:p>
        </w:tc>
      </w:tr>
      <w:tr w:rsidR="004144DC" w:rsidRPr="00414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-3.372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117.645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4DC" w:rsidRPr="004144DC" w:rsidRDefault="004144DC" w:rsidP="004144DC">
            <w:pPr>
              <w:overflowPunct/>
              <w:spacing w:after="0" w:line="320" w:lineRule="atLeast"/>
              <w:ind w:left="60" w:right="60"/>
              <w:jc w:val="righ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4144DC">
              <w:rPr>
                <w:rFonts w:cs="Arial"/>
                <w:color w:val="000000"/>
                <w:sz w:val="18"/>
                <w:szCs w:val="18"/>
              </w:rPr>
              <w:t>.001</w:t>
            </w:r>
          </w:p>
        </w:tc>
      </w:tr>
    </w:tbl>
    <w:p w:rsidR="004144DC" w:rsidRPr="004144DC" w:rsidRDefault="004144DC" w:rsidP="004144DC">
      <w:pPr>
        <w:overflowPunct/>
        <w:spacing w:after="0" w:line="400" w:lineRule="atLeast"/>
        <w:textAlignment w:val="auto"/>
        <w:rPr>
          <w:rFonts w:ascii="Times New Roman" w:hAnsi="Times New Roman"/>
          <w:szCs w:val="24"/>
        </w:rPr>
      </w:pPr>
    </w:p>
    <w:p w:rsidR="004144DC" w:rsidRDefault="004144DC" w:rsidP="00F64B7D">
      <w:pPr>
        <w:spacing w:before="60" w:after="60"/>
      </w:pPr>
      <w:r>
        <w:tab/>
        <w:t xml:space="preserve">From these statistics one can estimate Cohen’s </w:t>
      </w:r>
      <w:r w:rsidRPr="002F5D09">
        <w:rPr>
          <w:i/>
        </w:rPr>
        <w:t>d</w:t>
      </w:r>
      <w:r>
        <w:t xml:space="preserve"> as being .4987 (.5 is the benchmark for “medium”), with a confidence interval extending from .18 to .81.</w:t>
      </w:r>
    </w:p>
    <w:p w:rsidR="002F5D09" w:rsidRDefault="002F5D09" w:rsidP="00F64B7D">
      <w:pPr>
        <w:spacing w:before="60" w:after="60"/>
      </w:pPr>
    </w:p>
    <w:p w:rsidR="002F5D09" w:rsidRPr="002F5D09" w:rsidRDefault="002F5D09" w:rsidP="00F64B7D">
      <w:pPr>
        <w:spacing w:before="60" w:after="60"/>
      </w:pPr>
      <w:hyperlink r:id="rId5" w:history="1">
        <w:r w:rsidRPr="002F5D09">
          <w:rPr>
            <w:rStyle w:val="Hyperlink"/>
          </w:rPr>
          <w:t xml:space="preserve">Return to my discussion of </w:t>
        </w:r>
        <w:r w:rsidRPr="002F5D09">
          <w:rPr>
            <w:rStyle w:val="Hyperlink"/>
            <w:i/>
          </w:rPr>
          <w:t>r</w:t>
        </w:r>
        <w:r w:rsidRPr="002F5D09">
          <w:rPr>
            <w:rStyle w:val="Hyperlink"/>
            <w:i/>
            <w:vertAlign w:val="subscript"/>
          </w:rPr>
          <w:t>pb</w:t>
        </w:r>
        <w:r w:rsidRPr="002F5D09">
          <w:rPr>
            <w:rStyle w:val="Hyperlink"/>
          </w:rPr>
          <w:t xml:space="preserve"> versus </w:t>
        </w:r>
        <w:r w:rsidRPr="002F5D09">
          <w:rPr>
            <w:rStyle w:val="Hyperlink"/>
            <w:i/>
          </w:rPr>
          <w:t>d</w:t>
        </w:r>
      </w:hyperlink>
    </w:p>
    <w:sectPr w:rsidR="002F5D09" w:rsidRPr="002F5D09"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4"/>
    <w:rsid w:val="00011319"/>
    <w:rsid w:val="002F5D09"/>
    <w:rsid w:val="004144DC"/>
    <w:rsid w:val="004F2E8F"/>
    <w:rsid w:val="00530D8D"/>
    <w:rsid w:val="0096688A"/>
    <w:rsid w:val="00B6382D"/>
    <w:rsid w:val="00BC376B"/>
    <w:rsid w:val="00CD1D14"/>
    <w:rsid w:val="00D853D3"/>
    <w:rsid w:val="00DB6355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rsid w:val="002F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rsid w:val="002F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e.ecu.edu/psyc/wuenschk/StatHelp/d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6" baseType="variant"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http://core.ecu.edu/psyc/wuenschk/StatHelp/d-r.htm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Wuensch</dc:creator>
  <cp:keywords/>
  <dc:description/>
  <cp:lastModifiedBy>Karl L. Wuensch</cp:lastModifiedBy>
  <cp:revision>2</cp:revision>
  <dcterms:created xsi:type="dcterms:W3CDTF">2017-07-12T20:37:00Z</dcterms:created>
  <dcterms:modified xsi:type="dcterms:W3CDTF">2017-07-12T20:37:00Z</dcterms:modified>
</cp:coreProperties>
</file>