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BD" w:rsidRDefault="00E35BBD" w:rsidP="00F64B7D">
      <w:pPr>
        <w:spacing w:before="60" w:after="60"/>
      </w:pPr>
      <w:bookmarkStart w:id="0" w:name="_GoBack"/>
      <w:bookmarkEnd w:id="0"/>
    </w:p>
    <w:p w:rsidR="008D2286" w:rsidRPr="008D2286" w:rsidRDefault="008D2286" w:rsidP="008D2286">
      <w:pPr>
        <w:spacing w:before="60" w:after="60"/>
        <w:jc w:val="center"/>
        <w:rPr>
          <w:b/>
          <w:color w:val="008000"/>
        </w:rPr>
      </w:pPr>
      <w:r w:rsidRPr="008D2286">
        <w:rPr>
          <w:b/>
          <w:color w:val="008000"/>
        </w:rPr>
        <w:t xml:space="preserve">Correspondence Between </w:t>
      </w:r>
      <w:r w:rsidRPr="008D2286">
        <w:rPr>
          <w:b/>
          <w:color w:val="008000"/>
          <w:szCs w:val="24"/>
        </w:rPr>
        <w:sym w:font="Symbol" w:char="F066"/>
      </w:r>
      <w:r w:rsidRPr="008D2286">
        <w:rPr>
          <w:b/>
          <w:color w:val="008000"/>
          <w:szCs w:val="24"/>
        </w:rPr>
        <w:t xml:space="preserve"> and Odds Ratios in a 2 x 2 Contingency Table</w:t>
      </w:r>
    </w:p>
    <w:p w:rsidR="008D2286" w:rsidRDefault="008D2286" w:rsidP="00F64B7D">
      <w:pPr>
        <w:spacing w:before="60" w:after="60"/>
      </w:pPr>
    </w:p>
    <w:tbl>
      <w:tblPr>
        <w:tblStyle w:val="TableGrid"/>
        <w:tblW w:w="0" w:type="auto"/>
        <w:tblLook w:val="01E0" w:firstRow="1" w:lastRow="1" w:firstColumn="1" w:lastColumn="1" w:noHBand="0" w:noVBand="0"/>
      </w:tblPr>
      <w:tblGrid>
        <w:gridCol w:w="2268"/>
        <w:gridCol w:w="1200"/>
        <w:gridCol w:w="1920"/>
      </w:tblGrid>
      <w:tr w:rsidR="008D2286" w:rsidRPr="00D12C09" w:rsidTr="008D2286">
        <w:tc>
          <w:tcPr>
            <w:tcW w:w="2268" w:type="dxa"/>
            <w:tcBorders>
              <w:left w:val="nil"/>
              <w:bottom w:val="single" w:sz="4" w:space="0" w:color="auto"/>
              <w:right w:val="nil"/>
            </w:tcBorders>
          </w:tcPr>
          <w:p w:rsidR="008D2286" w:rsidRPr="007C2F52" w:rsidRDefault="008D2286" w:rsidP="008D2286">
            <w:pPr>
              <w:spacing w:before="60" w:after="60"/>
              <w:rPr>
                <w:szCs w:val="24"/>
              </w:rPr>
            </w:pPr>
            <w:r w:rsidRPr="007C2F52">
              <w:rPr>
                <w:szCs w:val="24"/>
              </w:rPr>
              <w:t>Size of effect</w:t>
            </w:r>
          </w:p>
        </w:tc>
        <w:tc>
          <w:tcPr>
            <w:tcW w:w="1200" w:type="dxa"/>
            <w:tcBorders>
              <w:left w:val="nil"/>
              <w:bottom w:val="single" w:sz="4" w:space="0" w:color="auto"/>
              <w:right w:val="nil"/>
            </w:tcBorders>
          </w:tcPr>
          <w:p w:rsidR="008D2286" w:rsidRPr="007C2F52" w:rsidRDefault="008D2286" w:rsidP="008D2286">
            <w:pPr>
              <w:spacing w:before="60" w:after="60"/>
              <w:jc w:val="center"/>
              <w:rPr>
                <w:szCs w:val="24"/>
              </w:rPr>
            </w:pPr>
            <w:r w:rsidRPr="007C2F52">
              <w:rPr>
                <w:i/>
                <w:szCs w:val="24"/>
              </w:rPr>
              <w:t>w</w:t>
            </w:r>
            <w:r w:rsidRPr="007C2F52">
              <w:rPr>
                <w:szCs w:val="24"/>
              </w:rPr>
              <w:t xml:space="preserve"> = </w:t>
            </w:r>
            <w:r w:rsidRPr="007C2F52">
              <w:rPr>
                <w:szCs w:val="24"/>
              </w:rPr>
              <w:sym w:font="Symbol" w:char="F066"/>
            </w:r>
          </w:p>
        </w:tc>
        <w:tc>
          <w:tcPr>
            <w:tcW w:w="1920" w:type="dxa"/>
            <w:tcBorders>
              <w:left w:val="nil"/>
              <w:bottom w:val="single" w:sz="4" w:space="0" w:color="auto"/>
              <w:right w:val="nil"/>
            </w:tcBorders>
          </w:tcPr>
          <w:p w:rsidR="008D2286" w:rsidRPr="007C2F52" w:rsidRDefault="00E519CF" w:rsidP="008D2286">
            <w:pPr>
              <w:spacing w:before="60" w:after="60"/>
              <w:jc w:val="center"/>
              <w:rPr>
                <w:szCs w:val="24"/>
              </w:rPr>
            </w:pPr>
            <w:r w:rsidRPr="00E519CF">
              <w:rPr>
                <w:i/>
                <w:szCs w:val="24"/>
              </w:rPr>
              <w:t>OR</w:t>
            </w:r>
            <w:r w:rsidR="008D2286">
              <w:rPr>
                <w:szCs w:val="24"/>
              </w:rPr>
              <w:t>*</w:t>
            </w:r>
          </w:p>
        </w:tc>
      </w:tr>
      <w:tr w:rsidR="008D2286" w:rsidRPr="00D12C09" w:rsidTr="008D2286">
        <w:tc>
          <w:tcPr>
            <w:tcW w:w="2268" w:type="dxa"/>
            <w:tcBorders>
              <w:left w:val="nil"/>
              <w:bottom w:val="nil"/>
              <w:right w:val="nil"/>
            </w:tcBorders>
          </w:tcPr>
          <w:p w:rsidR="008D2286" w:rsidRPr="007C2F52" w:rsidRDefault="008D2286" w:rsidP="008D2286">
            <w:pPr>
              <w:spacing w:before="60" w:after="60"/>
              <w:rPr>
                <w:szCs w:val="24"/>
              </w:rPr>
            </w:pPr>
            <w:r w:rsidRPr="007C2F52">
              <w:rPr>
                <w:szCs w:val="24"/>
              </w:rPr>
              <w:t>small</w:t>
            </w:r>
          </w:p>
        </w:tc>
        <w:tc>
          <w:tcPr>
            <w:tcW w:w="1200" w:type="dxa"/>
            <w:tcBorders>
              <w:left w:val="nil"/>
              <w:bottom w:val="nil"/>
              <w:right w:val="nil"/>
            </w:tcBorders>
          </w:tcPr>
          <w:p w:rsidR="008D2286" w:rsidRPr="007C2F52" w:rsidRDefault="008D2286" w:rsidP="008D2286">
            <w:pPr>
              <w:spacing w:before="60" w:after="60"/>
              <w:jc w:val="center"/>
              <w:rPr>
                <w:szCs w:val="24"/>
              </w:rPr>
            </w:pPr>
            <w:r w:rsidRPr="007C2F52">
              <w:rPr>
                <w:szCs w:val="24"/>
              </w:rPr>
              <w:t>.1</w:t>
            </w:r>
          </w:p>
        </w:tc>
        <w:tc>
          <w:tcPr>
            <w:tcW w:w="1920" w:type="dxa"/>
            <w:tcBorders>
              <w:left w:val="nil"/>
              <w:bottom w:val="nil"/>
              <w:right w:val="nil"/>
            </w:tcBorders>
          </w:tcPr>
          <w:p w:rsidR="008D2286" w:rsidRPr="007C2F52" w:rsidRDefault="008D2286" w:rsidP="008D2286">
            <w:pPr>
              <w:tabs>
                <w:tab w:val="decimal" w:pos="612"/>
              </w:tabs>
              <w:spacing w:before="60" w:after="60"/>
              <w:rPr>
                <w:szCs w:val="24"/>
              </w:rPr>
            </w:pPr>
            <w:r w:rsidRPr="007C2F52">
              <w:rPr>
                <w:szCs w:val="24"/>
              </w:rPr>
              <w:t>1.49</w:t>
            </w:r>
          </w:p>
        </w:tc>
      </w:tr>
      <w:tr w:rsidR="008D2286" w:rsidRPr="00D12C09" w:rsidTr="008D2286">
        <w:tc>
          <w:tcPr>
            <w:tcW w:w="2268" w:type="dxa"/>
            <w:tcBorders>
              <w:top w:val="nil"/>
              <w:left w:val="nil"/>
              <w:bottom w:val="nil"/>
              <w:right w:val="nil"/>
            </w:tcBorders>
          </w:tcPr>
          <w:p w:rsidR="008D2286" w:rsidRPr="007C2F52" w:rsidRDefault="008D2286" w:rsidP="008D2286">
            <w:pPr>
              <w:spacing w:before="60" w:after="60"/>
              <w:rPr>
                <w:szCs w:val="24"/>
              </w:rPr>
            </w:pPr>
            <w:r w:rsidRPr="007C2F52">
              <w:rPr>
                <w:szCs w:val="24"/>
              </w:rPr>
              <w:t>medium</w:t>
            </w:r>
          </w:p>
        </w:tc>
        <w:tc>
          <w:tcPr>
            <w:tcW w:w="1200" w:type="dxa"/>
            <w:tcBorders>
              <w:top w:val="nil"/>
              <w:left w:val="nil"/>
              <w:bottom w:val="nil"/>
              <w:right w:val="nil"/>
            </w:tcBorders>
          </w:tcPr>
          <w:p w:rsidR="008D2286" w:rsidRPr="007C2F52" w:rsidRDefault="008D2286" w:rsidP="008D2286">
            <w:pPr>
              <w:spacing w:before="60" w:after="60"/>
              <w:jc w:val="center"/>
              <w:rPr>
                <w:szCs w:val="24"/>
              </w:rPr>
            </w:pPr>
            <w:r w:rsidRPr="007C2F52">
              <w:rPr>
                <w:szCs w:val="24"/>
              </w:rPr>
              <w:t>.3</w:t>
            </w:r>
          </w:p>
        </w:tc>
        <w:tc>
          <w:tcPr>
            <w:tcW w:w="1920" w:type="dxa"/>
            <w:tcBorders>
              <w:top w:val="nil"/>
              <w:left w:val="nil"/>
              <w:bottom w:val="nil"/>
              <w:right w:val="nil"/>
            </w:tcBorders>
          </w:tcPr>
          <w:p w:rsidR="008D2286" w:rsidRPr="007C2F52" w:rsidRDefault="008D2286" w:rsidP="008D2286">
            <w:pPr>
              <w:tabs>
                <w:tab w:val="decimal" w:pos="612"/>
              </w:tabs>
              <w:spacing w:before="60" w:after="60"/>
              <w:rPr>
                <w:szCs w:val="24"/>
              </w:rPr>
            </w:pPr>
            <w:r w:rsidRPr="007C2F52">
              <w:rPr>
                <w:szCs w:val="24"/>
              </w:rPr>
              <w:t>3.45</w:t>
            </w:r>
          </w:p>
        </w:tc>
      </w:tr>
      <w:tr w:rsidR="008D2286" w:rsidRPr="00D12C09" w:rsidTr="008D2286">
        <w:tc>
          <w:tcPr>
            <w:tcW w:w="2268" w:type="dxa"/>
            <w:tcBorders>
              <w:top w:val="nil"/>
              <w:left w:val="nil"/>
              <w:right w:val="nil"/>
            </w:tcBorders>
          </w:tcPr>
          <w:p w:rsidR="008D2286" w:rsidRPr="007C2F52" w:rsidRDefault="008D2286" w:rsidP="008D2286">
            <w:pPr>
              <w:spacing w:before="60" w:after="60"/>
              <w:rPr>
                <w:szCs w:val="24"/>
              </w:rPr>
            </w:pPr>
            <w:r w:rsidRPr="007C2F52">
              <w:rPr>
                <w:szCs w:val="24"/>
              </w:rPr>
              <w:t>large</w:t>
            </w:r>
          </w:p>
        </w:tc>
        <w:tc>
          <w:tcPr>
            <w:tcW w:w="1200" w:type="dxa"/>
            <w:tcBorders>
              <w:top w:val="nil"/>
              <w:left w:val="nil"/>
              <w:right w:val="nil"/>
            </w:tcBorders>
          </w:tcPr>
          <w:p w:rsidR="008D2286" w:rsidRPr="007C2F52" w:rsidRDefault="008D2286" w:rsidP="008D2286">
            <w:pPr>
              <w:spacing w:before="60" w:after="60"/>
              <w:jc w:val="center"/>
              <w:rPr>
                <w:szCs w:val="24"/>
              </w:rPr>
            </w:pPr>
            <w:r w:rsidRPr="007C2F52">
              <w:rPr>
                <w:szCs w:val="24"/>
              </w:rPr>
              <w:t>.5</w:t>
            </w:r>
          </w:p>
        </w:tc>
        <w:tc>
          <w:tcPr>
            <w:tcW w:w="1920" w:type="dxa"/>
            <w:tcBorders>
              <w:top w:val="nil"/>
              <w:left w:val="nil"/>
              <w:right w:val="nil"/>
            </w:tcBorders>
          </w:tcPr>
          <w:p w:rsidR="008D2286" w:rsidRPr="007C2F52" w:rsidRDefault="008D2286" w:rsidP="008D2286">
            <w:pPr>
              <w:tabs>
                <w:tab w:val="decimal" w:pos="612"/>
              </w:tabs>
              <w:spacing w:before="60" w:after="60"/>
              <w:rPr>
                <w:szCs w:val="24"/>
              </w:rPr>
            </w:pPr>
            <w:r w:rsidRPr="007C2F52">
              <w:rPr>
                <w:szCs w:val="24"/>
              </w:rPr>
              <w:t>9</w:t>
            </w:r>
          </w:p>
        </w:tc>
      </w:tr>
    </w:tbl>
    <w:p w:rsidR="008D2286" w:rsidRDefault="008D2286" w:rsidP="008D2286">
      <w:pPr>
        <w:spacing w:before="60" w:after="60"/>
      </w:pPr>
      <w:r>
        <w:t>*For a 2 x 2 table with both marginals distributed uniformly.</w:t>
      </w:r>
    </w:p>
    <w:p w:rsidR="008D2286" w:rsidRDefault="008D2286" w:rsidP="008D2286">
      <w:pPr>
        <w:spacing w:before="60" w:after="60"/>
        <w:rPr>
          <w:szCs w:val="24"/>
        </w:rPr>
      </w:pPr>
      <w:r>
        <w:tab/>
        <w:t xml:space="preserve">If the marginals are both distributed uniformly, the correspondence is as tabled below.  This demonstrated in </w:t>
      </w:r>
      <w:hyperlink r:id="rId5" w:history="1">
        <w:r w:rsidRPr="008D2286">
          <w:rPr>
            <w:rStyle w:val="Hyperlink"/>
          </w:rPr>
          <w:t>this document</w:t>
        </w:r>
      </w:hyperlink>
      <w:r>
        <w:t xml:space="preserve">.  If, however, the marginals are not uniformly distributed, the relationship between the odds ratio and the </w:t>
      </w:r>
      <w:r w:rsidRPr="007C2F52">
        <w:rPr>
          <w:szCs w:val="24"/>
        </w:rPr>
        <w:sym w:font="Symbol" w:char="F066"/>
      </w:r>
      <w:r>
        <w:rPr>
          <w:szCs w:val="24"/>
        </w:rPr>
        <w:t xml:space="preserve"> can be quite different.</w:t>
      </w:r>
    </w:p>
    <w:p w:rsidR="0087580E" w:rsidRDefault="0087580E" w:rsidP="008D2286">
      <w:pPr>
        <w:spacing w:before="60" w:after="60"/>
        <w:rPr>
          <w:szCs w:val="24"/>
        </w:rPr>
      </w:pPr>
    </w:p>
    <w:p w:rsidR="0087580E" w:rsidRDefault="0087580E" w:rsidP="008D2286">
      <w:pPr>
        <w:spacing w:before="60" w:after="60"/>
        <w:rPr>
          <w:szCs w:val="24"/>
        </w:rPr>
      </w:pPr>
      <w:r>
        <w:rPr>
          <w:szCs w:val="24"/>
        </w:rPr>
        <w:tab/>
        <w:t xml:space="preserve">The </w:t>
      </w:r>
      <w:r w:rsidRPr="007C2F52">
        <w:rPr>
          <w:szCs w:val="24"/>
        </w:rPr>
        <w:sym w:font="Symbol" w:char="F066"/>
      </w:r>
      <w:r>
        <w:rPr>
          <w:szCs w:val="24"/>
          <w:vertAlign w:val="superscript"/>
        </w:rPr>
        <w:t>2</w:t>
      </w:r>
      <w:r>
        <w:rPr>
          <w:szCs w:val="24"/>
        </w:rPr>
        <w:t xml:space="preserve"> statistic tells one what proportion of the variance in the cell counts is explained by the interaction between the rows variable and the columns variable.  The remaining variance is due to the marginal distributions.  Accordingly, the more the marginal distributions deviate from uniform, the smaller the </w:t>
      </w:r>
      <w:r w:rsidRPr="007C2F52">
        <w:rPr>
          <w:szCs w:val="24"/>
        </w:rPr>
        <w:sym w:font="Symbol" w:char="F066"/>
      </w:r>
      <w:r>
        <w:rPr>
          <w:szCs w:val="24"/>
        </w:rPr>
        <w:t>, ceteris paribus.  Odds ratios are not affected in this way by the marginals.</w:t>
      </w:r>
    </w:p>
    <w:p w:rsidR="0087580E" w:rsidRDefault="0087580E" w:rsidP="008D2286">
      <w:pPr>
        <w:spacing w:before="60" w:after="60"/>
        <w:rPr>
          <w:szCs w:val="24"/>
        </w:rPr>
      </w:pPr>
      <w:r>
        <w:rPr>
          <w:szCs w:val="24"/>
        </w:rPr>
        <w:tab/>
        <w:t>Consider this medium-sized effect: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615"/>
        <w:gridCol w:w="1609"/>
        <w:gridCol w:w="3440"/>
      </w:tblGrid>
      <w:tr w:rsidR="0087580E" w:rsidTr="00DF7891">
        <w:tc>
          <w:tcPr>
            <w:tcW w:w="1190" w:type="dxa"/>
            <w:tcBorders>
              <w:top w:val="nil"/>
              <w:left w:val="nil"/>
            </w:tcBorders>
            <w:vAlign w:val="center"/>
          </w:tcPr>
          <w:p w:rsidR="0087580E" w:rsidRDefault="0087580E" w:rsidP="00DF7891">
            <w:pPr>
              <w:spacing w:before="60" w:after="60"/>
              <w:rPr>
                <w:szCs w:val="24"/>
              </w:rPr>
            </w:pPr>
          </w:p>
        </w:tc>
        <w:tc>
          <w:tcPr>
            <w:tcW w:w="3224" w:type="dxa"/>
            <w:gridSpan w:val="2"/>
            <w:vAlign w:val="center"/>
          </w:tcPr>
          <w:p w:rsidR="0087580E" w:rsidRDefault="0087580E" w:rsidP="00DF7891">
            <w:pPr>
              <w:spacing w:before="60" w:after="60"/>
              <w:jc w:val="center"/>
              <w:rPr>
                <w:szCs w:val="24"/>
              </w:rPr>
            </w:pPr>
            <w:r>
              <w:rPr>
                <w:szCs w:val="24"/>
              </w:rPr>
              <w:t>Experimental Group</w:t>
            </w:r>
          </w:p>
        </w:tc>
        <w:tc>
          <w:tcPr>
            <w:tcW w:w="3440" w:type="dxa"/>
            <w:tcBorders>
              <w:top w:val="nil"/>
              <w:right w:val="nil"/>
            </w:tcBorders>
            <w:vAlign w:val="center"/>
          </w:tcPr>
          <w:p w:rsidR="0087580E" w:rsidRDefault="0087580E" w:rsidP="00DF7891">
            <w:pPr>
              <w:spacing w:before="60" w:after="60"/>
              <w:jc w:val="center"/>
              <w:rPr>
                <w:szCs w:val="24"/>
              </w:rPr>
            </w:pPr>
          </w:p>
        </w:tc>
      </w:tr>
      <w:tr w:rsidR="0087580E" w:rsidTr="00DF7891">
        <w:trPr>
          <w:cantSplit/>
        </w:trPr>
        <w:tc>
          <w:tcPr>
            <w:tcW w:w="1190" w:type="dxa"/>
            <w:vAlign w:val="center"/>
          </w:tcPr>
          <w:p w:rsidR="0087580E" w:rsidRDefault="0087580E" w:rsidP="00DF7891">
            <w:pPr>
              <w:spacing w:before="60" w:after="60"/>
              <w:rPr>
                <w:szCs w:val="24"/>
              </w:rPr>
            </w:pPr>
            <w:r>
              <w:rPr>
                <w:szCs w:val="24"/>
              </w:rPr>
              <w:t>Outcome</w:t>
            </w:r>
          </w:p>
        </w:tc>
        <w:tc>
          <w:tcPr>
            <w:tcW w:w="1615" w:type="dxa"/>
            <w:vAlign w:val="center"/>
          </w:tcPr>
          <w:p w:rsidR="0087580E" w:rsidRDefault="0087580E" w:rsidP="00DF7891">
            <w:pPr>
              <w:spacing w:before="60" w:after="60"/>
              <w:jc w:val="center"/>
              <w:rPr>
                <w:szCs w:val="24"/>
              </w:rPr>
            </w:pPr>
            <w:r>
              <w:rPr>
                <w:szCs w:val="24"/>
              </w:rPr>
              <w:t>Treatment</w:t>
            </w:r>
          </w:p>
        </w:tc>
        <w:tc>
          <w:tcPr>
            <w:tcW w:w="1609" w:type="dxa"/>
            <w:vAlign w:val="center"/>
          </w:tcPr>
          <w:p w:rsidR="0087580E" w:rsidRDefault="0087580E" w:rsidP="00DF7891">
            <w:pPr>
              <w:spacing w:before="60" w:after="60"/>
              <w:jc w:val="center"/>
              <w:rPr>
                <w:szCs w:val="24"/>
              </w:rPr>
            </w:pPr>
            <w:r>
              <w:rPr>
                <w:szCs w:val="24"/>
              </w:rPr>
              <w:t>Control</w:t>
            </w:r>
          </w:p>
        </w:tc>
        <w:tc>
          <w:tcPr>
            <w:tcW w:w="3440" w:type="dxa"/>
            <w:vMerge w:val="restart"/>
            <w:vAlign w:val="center"/>
          </w:tcPr>
          <w:p w:rsidR="0087580E" w:rsidRDefault="0087580E" w:rsidP="00DF7891">
            <w:pPr>
              <w:spacing w:before="60" w:after="60"/>
              <w:rPr>
                <w:szCs w:val="24"/>
              </w:rPr>
            </w:pPr>
            <w:r w:rsidRPr="001C7869">
              <w:rPr>
                <w:sz w:val="32"/>
                <w:szCs w:val="32"/>
              </w:rPr>
              <w:sym w:font="Symbol" w:char="F066"/>
            </w:r>
            <w:r w:rsidRPr="001C7869">
              <w:rPr>
                <w:sz w:val="32"/>
                <w:szCs w:val="32"/>
              </w:rPr>
              <w:t xml:space="preserve"> = .</w:t>
            </w:r>
            <w:r>
              <w:rPr>
                <w:sz w:val="32"/>
                <w:szCs w:val="32"/>
              </w:rPr>
              <w:t>30</w:t>
            </w:r>
            <w:r w:rsidRPr="001C7869">
              <w:rPr>
                <w:sz w:val="32"/>
                <w:szCs w:val="32"/>
              </w:rPr>
              <w:t xml:space="preserve">, </w:t>
            </w:r>
            <w:r w:rsidRPr="001C7869">
              <w:rPr>
                <w:i/>
                <w:sz w:val="32"/>
                <w:szCs w:val="32"/>
              </w:rPr>
              <w:t>OR</w:t>
            </w:r>
            <w:r w:rsidRPr="001C7869">
              <w:rPr>
                <w:sz w:val="32"/>
                <w:szCs w:val="32"/>
              </w:rPr>
              <w:t xml:space="preserve"> = </w:t>
            </w:r>
            <w:r>
              <w:rPr>
                <w:sz w:val="32"/>
                <w:szCs w:val="32"/>
              </w:rPr>
              <w:t>3.45</w:t>
            </w:r>
          </w:p>
        </w:tc>
      </w:tr>
      <w:tr w:rsidR="0087580E" w:rsidTr="00DF7891">
        <w:trPr>
          <w:cantSplit/>
        </w:trPr>
        <w:tc>
          <w:tcPr>
            <w:tcW w:w="1190" w:type="dxa"/>
            <w:vAlign w:val="center"/>
          </w:tcPr>
          <w:p w:rsidR="0087580E" w:rsidRDefault="0087580E" w:rsidP="00DF7891">
            <w:pPr>
              <w:spacing w:before="60" w:after="60"/>
              <w:rPr>
                <w:szCs w:val="24"/>
              </w:rPr>
            </w:pPr>
            <w:r>
              <w:rPr>
                <w:szCs w:val="24"/>
              </w:rPr>
              <w:t>Positive</w:t>
            </w:r>
          </w:p>
        </w:tc>
        <w:tc>
          <w:tcPr>
            <w:tcW w:w="1615" w:type="dxa"/>
            <w:vAlign w:val="center"/>
          </w:tcPr>
          <w:p w:rsidR="0087580E" w:rsidRDefault="0087580E" w:rsidP="00DF7891">
            <w:pPr>
              <w:spacing w:before="60" w:after="60"/>
              <w:jc w:val="center"/>
              <w:rPr>
                <w:szCs w:val="24"/>
              </w:rPr>
            </w:pPr>
            <w:r>
              <w:rPr>
                <w:szCs w:val="24"/>
              </w:rPr>
              <w:t>65</w:t>
            </w:r>
          </w:p>
        </w:tc>
        <w:tc>
          <w:tcPr>
            <w:tcW w:w="1609" w:type="dxa"/>
            <w:vAlign w:val="center"/>
          </w:tcPr>
          <w:p w:rsidR="0087580E" w:rsidRDefault="0087580E" w:rsidP="00DF7891">
            <w:pPr>
              <w:spacing w:before="60" w:after="60"/>
              <w:jc w:val="center"/>
              <w:rPr>
                <w:szCs w:val="24"/>
              </w:rPr>
            </w:pPr>
            <w:r>
              <w:rPr>
                <w:szCs w:val="24"/>
              </w:rPr>
              <w:t>35</w:t>
            </w:r>
          </w:p>
        </w:tc>
        <w:tc>
          <w:tcPr>
            <w:tcW w:w="3440" w:type="dxa"/>
            <w:vMerge/>
            <w:vAlign w:val="center"/>
          </w:tcPr>
          <w:p w:rsidR="0087580E" w:rsidRDefault="0087580E" w:rsidP="00DF7891">
            <w:pPr>
              <w:spacing w:before="60" w:after="60"/>
              <w:jc w:val="center"/>
              <w:rPr>
                <w:szCs w:val="24"/>
              </w:rPr>
            </w:pPr>
          </w:p>
        </w:tc>
      </w:tr>
      <w:tr w:rsidR="0087580E" w:rsidTr="00DF7891">
        <w:trPr>
          <w:cantSplit/>
        </w:trPr>
        <w:tc>
          <w:tcPr>
            <w:tcW w:w="1190" w:type="dxa"/>
            <w:vAlign w:val="center"/>
          </w:tcPr>
          <w:p w:rsidR="0087580E" w:rsidRDefault="0087580E" w:rsidP="00DF7891">
            <w:pPr>
              <w:spacing w:before="60" w:after="60"/>
              <w:rPr>
                <w:szCs w:val="24"/>
              </w:rPr>
            </w:pPr>
            <w:r>
              <w:rPr>
                <w:szCs w:val="24"/>
              </w:rPr>
              <w:t>Negative</w:t>
            </w:r>
          </w:p>
        </w:tc>
        <w:tc>
          <w:tcPr>
            <w:tcW w:w="1615" w:type="dxa"/>
            <w:vAlign w:val="center"/>
          </w:tcPr>
          <w:p w:rsidR="0087580E" w:rsidRDefault="0087580E" w:rsidP="00DF7891">
            <w:pPr>
              <w:spacing w:before="60" w:after="60"/>
              <w:jc w:val="center"/>
              <w:rPr>
                <w:szCs w:val="24"/>
              </w:rPr>
            </w:pPr>
            <w:r>
              <w:rPr>
                <w:szCs w:val="24"/>
              </w:rPr>
              <w:t>35</w:t>
            </w:r>
          </w:p>
        </w:tc>
        <w:tc>
          <w:tcPr>
            <w:tcW w:w="1609" w:type="dxa"/>
            <w:vAlign w:val="center"/>
          </w:tcPr>
          <w:p w:rsidR="0087580E" w:rsidRDefault="0087580E" w:rsidP="00DF7891">
            <w:pPr>
              <w:spacing w:before="60" w:after="60"/>
              <w:jc w:val="center"/>
              <w:rPr>
                <w:szCs w:val="24"/>
              </w:rPr>
            </w:pPr>
            <w:r>
              <w:rPr>
                <w:szCs w:val="24"/>
              </w:rPr>
              <w:t>65</w:t>
            </w:r>
          </w:p>
        </w:tc>
        <w:tc>
          <w:tcPr>
            <w:tcW w:w="3440" w:type="dxa"/>
            <w:vMerge/>
            <w:vAlign w:val="center"/>
          </w:tcPr>
          <w:p w:rsidR="0087580E" w:rsidRDefault="0087580E" w:rsidP="00DF7891">
            <w:pPr>
              <w:spacing w:before="60" w:after="60"/>
              <w:jc w:val="center"/>
              <w:rPr>
                <w:szCs w:val="24"/>
              </w:rPr>
            </w:pPr>
          </w:p>
        </w:tc>
      </w:tr>
    </w:tbl>
    <w:p w:rsidR="0087580E" w:rsidRDefault="0087580E" w:rsidP="008D2286">
      <w:pPr>
        <w:spacing w:before="60" w:after="60"/>
        <w:rPr>
          <w:szCs w:val="24"/>
        </w:rPr>
      </w:pPr>
    </w:p>
    <w:p w:rsidR="0087580E" w:rsidRDefault="0087580E" w:rsidP="008D2286">
      <w:pPr>
        <w:spacing w:before="60" w:after="60"/>
        <w:rPr>
          <w:szCs w:val="24"/>
        </w:rPr>
      </w:pPr>
      <w:r>
        <w:rPr>
          <w:szCs w:val="24"/>
        </w:rPr>
        <w:tab/>
        <w:t>Now I keeps the odds the same, but make the marginals distinctly not uniform:</w:t>
      </w:r>
    </w:p>
    <w:p w:rsidR="0087580E" w:rsidRDefault="0087580E" w:rsidP="008D2286">
      <w:pPr>
        <w:spacing w:before="60" w:after="60"/>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615"/>
        <w:gridCol w:w="1609"/>
        <w:gridCol w:w="3440"/>
      </w:tblGrid>
      <w:tr w:rsidR="0087580E" w:rsidTr="00DF7891">
        <w:tc>
          <w:tcPr>
            <w:tcW w:w="1190" w:type="dxa"/>
            <w:tcBorders>
              <w:top w:val="nil"/>
              <w:left w:val="nil"/>
            </w:tcBorders>
            <w:vAlign w:val="center"/>
          </w:tcPr>
          <w:p w:rsidR="0087580E" w:rsidRDefault="0087580E" w:rsidP="00DF7891">
            <w:pPr>
              <w:spacing w:before="60" w:after="60"/>
              <w:rPr>
                <w:szCs w:val="24"/>
              </w:rPr>
            </w:pPr>
          </w:p>
        </w:tc>
        <w:tc>
          <w:tcPr>
            <w:tcW w:w="3224" w:type="dxa"/>
            <w:gridSpan w:val="2"/>
            <w:vAlign w:val="center"/>
          </w:tcPr>
          <w:p w:rsidR="0087580E" w:rsidRDefault="0087580E" w:rsidP="00DF7891">
            <w:pPr>
              <w:spacing w:before="60" w:after="60"/>
              <w:jc w:val="center"/>
              <w:rPr>
                <w:szCs w:val="24"/>
              </w:rPr>
            </w:pPr>
            <w:r>
              <w:rPr>
                <w:szCs w:val="24"/>
              </w:rPr>
              <w:t>Experimental Group</w:t>
            </w:r>
          </w:p>
        </w:tc>
        <w:tc>
          <w:tcPr>
            <w:tcW w:w="3440" w:type="dxa"/>
            <w:tcBorders>
              <w:top w:val="nil"/>
              <w:right w:val="nil"/>
            </w:tcBorders>
            <w:vAlign w:val="center"/>
          </w:tcPr>
          <w:p w:rsidR="0087580E" w:rsidRDefault="0087580E" w:rsidP="00DF7891">
            <w:pPr>
              <w:spacing w:before="60" w:after="60"/>
              <w:jc w:val="center"/>
              <w:rPr>
                <w:szCs w:val="24"/>
              </w:rPr>
            </w:pPr>
          </w:p>
        </w:tc>
      </w:tr>
      <w:tr w:rsidR="0087580E" w:rsidTr="00DF7891">
        <w:trPr>
          <w:cantSplit/>
        </w:trPr>
        <w:tc>
          <w:tcPr>
            <w:tcW w:w="1190" w:type="dxa"/>
            <w:vAlign w:val="center"/>
          </w:tcPr>
          <w:p w:rsidR="0087580E" w:rsidRDefault="0087580E" w:rsidP="00DF7891">
            <w:pPr>
              <w:spacing w:before="60" w:after="60"/>
              <w:rPr>
                <w:szCs w:val="24"/>
              </w:rPr>
            </w:pPr>
            <w:r>
              <w:rPr>
                <w:szCs w:val="24"/>
              </w:rPr>
              <w:t>Outcome</w:t>
            </w:r>
          </w:p>
        </w:tc>
        <w:tc>
          <w:tcPr>
            <w:tcW w:w="1615" w:type="dxa"/>
            <w:vAlign w:val="center"/>
          </w:tcPr>
          <w:p w:rsidR="0087580E" w:rsidRDefault="0087580E" w:rsidP="00DF7891">
            <w:pPr>
              <w:spacing w:before="60" w:after="60"/>
              <w:jc w:val="center"/>
              <w:rPr>
                <w:szCs w:val="24"/>
              </w:rPr>
            </w:pPr>
            <w:r>
              <w:rPr>
                <w:szCs w:val="24"/>
              </w:rPr>
              <w:t>Treatment</w:t>
            </w:r>
          </w:p>
        </w:tc>
        <w:tc>
          <w:tcPr>
            <w:tcW w:w="1609" w:type="dxa"/>
            <w:vAlign w:val="center"/>
          </w:tcPr>
          <w:p w:rsidR="0087580E" w:rsidRDefault="0087580E" w:rsidP="00DF7891">
            <w:pPr>
              <w:spacing w:before="60" w:after="60"/>
              <w:jc w:val="center"/>
              <w:rPr>
                <w:szCs w:val="24"/>
              </w:rPr>
            </w:pPr>
            <w:r>
              <w:rPr>
                <w:szCs w:val="24"/>
              </w:rPr>
              <w:t>Control</w:t>
            </w:r>
          </w:p>
        </w:tc>
        <w:tc>
          <w:tcPr>
            <w:tcW w:w="3440" w:type="dxa"/>
            <w:vMerge w:val="restart"/>
            <w:vAlign w:val="center"/>
          </w:tcPr>
          <w:p w:rsidR="0087580E" w:rsidRPr="001C7869" w:rsidRDefault="0087580E" w:rsidP="00DF7891">
            <w:pPr>
              <w:spacing w:before="60" w:after="60"/>
              <w:rPr>
                <w:sz w:val="32"/>
                <w:szCs w:val="32"/>
              </w:rPr>
            </w:pPr>
            <w:r w:rsidRPr="001C7869">
              <w:rPr>
                <w:sz w:val="32"/>
                <w:szCs w:val="32"/>
              </w:rPr>
              <w:sym w:font="Symbol" w:char="F066"/>
            </w:r>
            <w:r w:rsidRPr="001C7869">
              <w:rPr>
                <w:sz w:val="32"/>
                <w:szCs w:val="32"/>
              </w:rPr>
              <w:t xml:space="preserve"> = .</w:t>
            </w:r>
            <w:r>
              <w:rPr>
                <w:sz w:val="32"/>
                <w:szCs w:val="32"/>
              </w:rPr>
              <w:t>06</w:t>
            </w:r>
            <w:r w:rsidRPr="001C7869">
              <w:rPr>
                <w:sz w:val="32"/>
                <w:szCs w:val="32"/>
              </w:rPr>
              <w:t xml:space="preserve">, </w:t>
            </w:r>
            <w:r w:rsidRPr="001C7869">
              <w:rPr>
                <w:i/>
                <w:sz w:val="32"/>
                <w:szCs w:val="32"/>
              </w:rPr>
              <w:t>OR</w:t>
            </w:r>
            <w:r w:rsidRPr="001C7869">
              <w:rPr>
                <w:sz w:val="32"/>
                <w:szCs w:val="32"/>
              </w:rPr>
              <w:t xml:space="preserve"> = </w:t>
            </w:r>
            <w:r>
              <w:rPr>
                <w:sz w:val="32"/>
                <w:szCs w:val="32"/>
              </w:rPr>
              <w:t>3.45</w:t>
            </w:r>
          </w:p>
        </w:tc>
      </w:tr>
      <w:tr w:rsidR="0087580E" w:rsidTr="00DF7891">
        <w:trPr>
          <w:cantSplit/>
        </w:trPr>
        <w:tc>
          <w:tcPr>
            <w:tcW w:w="1190" w:type="dxa"/>
            <w:vAlign w:val="center"/>
          </w:tcPr>
          <w:p w:rsidR="0087580E" w:rsidRDefault="0087580E" w:rsidP="00DF7891">
            <w:pPr>
              <w:spacing w:before="60" w:after="60"/>
              <w:rPr>
                <w:szCs w:val="24"/>
              </w:rPr>
            </w:pPr>
            <w:r>
              <w:rPr>
                <w:szCs w:val="24"/>
              </w:rPr>
              <w:t>Positive</w:t>
            </w:r>
          </w:p>
        </w:tc>
        <w:tc>
          <w:tcPr>
            <w:tcW w:w="1615" w:type="dxa"/>
            <w:vAlign w:val="center"/>
          </w:tcPr>
          <w:p w:rsidR="0087580E" w:rsidRDefault="0087580E" w:rsidP="00DF7891">
            <w:pPr>
              <w:spacing w:before="60" w:after="60"/>
              <w:jc w:val="center"/>
              <w:rPr>
                <w:szCs w:val="24"/>
              </w:rPr>
            </w:pPr>
            <w:r>
              <w:rPr>
                <w:szCs w:val="24"/>
              </w:rPr>
              <w:t>5850</w:t>
            </w:r>
          </w:p>
        </w:tc>
        <w:tc>
          <w:tcPr>
            <w:tcW w:w="1609" w:type="dxa"/>
            <w:vAlign w:val="center"/>
          </w:tcPr>
          <w:p w:rsidR="0087580E" w:rsidRDefault="0087580E" w:rsidP="00DF7891">
            <w:pPr>
              <w:spacing w:before="60" w:after="60"/>
              <w:jc w:val="center"/>
              <w:rPr>
                <w:szCs w:val="24"/>
              </w:rPr>
            </w:pPr>
            <w:r>
              <w:rPr>
                <w:szCs w:val="24"/>
              </w:rPr>
              <w:t>3150</w:t>
            </w:r>
          </w:p>
        </w:tc>
        <w:tc>
          <w:tcPr>
            <w:tcW w:w="3440" w:type="dxa"/>
            <w:vMerge/>
            <w:vAlign w:val="center"/>
          </w:tcPr>
          <w:p w:rsidR="0087580E" w:rsidRDefault="0087580E" w:rsidP="00DF7891">
            <w:pPr>
              <w:spacing w:before="60" w:after="60"/>
              <w:jc w:val="center"/>
              <w:rPr>
                <w:szCs w:val="24"/>
              </w:rPr>
            </w:pPr>
          </w:p>
        </w:tc>
      </w:tr>
      <w:tr w:rsidR="0087580E" w:rsidTr="00DF7891">
        <w:trPr>
          <w:cantSplit/>
        </w:trPr>
        <w:tc>
          <w:tcPr>
            <w:tcW w:w="1190" w:type="dxa"/>
            <w:vAlign w:val="center"/>
          </w:tcPr>
          <w:p w:rsidR="0087580E" w:rsidRDefault="0087580E" w:rsidP="00DF7891">
            <w:pPr>
              <w:spacing w:before="60" w:after="60"/>
              <w:rPr>
                <w:szCs w:val="24"/>
              </w:rPr>
            </w:pPr>
            <w:r>
              <w:rPr>
                <w:szCs w:val="24"/>
              </w:rPr>
              <w:t>Negative</w:t>
            </w:r>
          </w:p>
        </w:tc>
        <w:tc>
          <w:tcPr>
            <w:tcW w:w="1615" w:type="dxa"/>
            <w:vAlign w:val="center"/>
          </w:tcPr>
          <w:p w:rsidR="0087580E" w:rsidRDefault="0087580E" w:rsidP="00DF7891">
            <w:pPr>
              <w:spacing w:before="60" w:after="60"/>
              <w:jc w:val="center"/>
              <w:rPr>
                <w:szCs w:val="24"/>
              </w:rPr>
            </w:pPr>
            <w:r>
              <w:rPr>
                <w:szCs w:val="24"/>
              </w:rPr>
              <w:t>35</w:t>
            </w:r>
          </w:p>
        </w:tc>
        <w:tc>
          <w:tcPr>
            <w:tcW w:w="1609" w:type="dxa"/>
            <w:vAlign w:val="center"/>
          </w:tcPr>
          <w:p w:rsidR="0087580E" w:rsidRDefault="0087580E" w:rsidP="00DF7891">
            <w:pPr>
              <w:spacing w:before="60" w:after="60"/>
              <w:jc w:val="center"/>
              <w:rPr>
                <w:szCs w:val="24"/>
              </w:rPr>
            </w:pPr>
            <w:r>
              <w:rPr>
                <w:szCs w:val="24"/>
              </w:rPr>
              <w:t>65</w:t>
            </w:r>
          </w:p>
        </w:tc>
        <w:tc>
          <w:tcPr>
            <w:tcW w:w="3440" w:type="dxa"/>
            <w:vMerge/>
            <w:vAlign w:val="center"/>
          </w:tcPr>
          <w:p w:rsidR="0087580E" w:rsidRDefault="0087580E" w:rsidP="00DF7891">
            <w:pPr>
              <w:spacing w:before="60" w:after="60"/>
              <w:jc w:val="center"/>
              <w:rPr>
                <w:szCs w:val="24"/>
              </w:rPr>
            </w:pPr>
          </w:p>
        </w:tc>
      </w:tr>
    </w:tbl>
    <w:p w:rsidR="0087580E" w:rsidRDefault="0087580E" w:rsidP="008D2286">
      <w:pPr>
        <w:spacing w:before="60" w:after="60"/>
        <w:rPr>
          <w:szCs w:val="24"/>
        </w:rPr>
      </w:pPr>
    </w:p>
    <w:p w:rsidR="0087580E" w:rsidRDefault="0087580E" w:rsidP="008D2286">
      <w:pPr>
        <w:spacing w:before="60" w:after="60"/>
        <w:rPr>
          <w:szCs w:val="24"/>
        </w:rPr>
      </w:pPr>
      <w:r>
        <w:rPr>
          <w:szCs w:val="24"/>
        </w:rPr>
        <w:tab/>
        <w:t>By my way of thinking, the magnitude of the effect is, for these data, the same as it was for the previous table – the odds of a positive outcome are 3.45 times higher in the experimental group (65/35 = 1.857) than in the control group (.538).  I like odds ratios.  The phi has gone down here because of the great contribution of the marginals toward predicting the cell counts – 90% of the cases were positive outcomes.</w:t>
      </w:r>
    </w:p>
    <w:p w:rsidR="00DF7891" w:rsidRDefault="00DF7891" w:rsidP="008D2286">
      <w:pPr>
        <w:spacing w:before="60" w:after="60"/>
        <w:rPr>
          <w:szCs w:val="24"/>
        </w:rPr>
      </w:pPr>
      <w:r>
        <w:rPr>
          <w:szCs w:val="24"/>
        </w:rPr>
        <w:lastRenderedPageBreak/>
        <w:tab/>
        <w:t xml:space="preserve">So, which should you report, </w:t>
      </w:r>
      <w:r w:rsidRPr="007C2F52">
        <w:rPr>
          <w:szCs w:val="24"/>
        </w:rPr>
        <w:sym w:font="Symbol" w:char="F066"/>
      </w:r>
      <w:r>
        <w:rPr>
          <w:szCs w:val="24"/>
        </w:rPr>
        <w:t xml:space="preserve"> or </w:t>
      </w:r>
      <w:r w:rsidRPr="00DF7891">
        <w:rPr>
          <w:i/>
          <w:szCs w:val="24"/>
        </w:rPr>
        <w:t>OR</w:t>
      </w:r>
      <w:r>
        <w:rPr>
          <w:szCs w:val="24"/>
        </w:rPr>
        <w:t xml:space="preserve">?  I recommend reporting both and, when the marginals are distinctly not uniform, explaining how </w:t>
      </w:r>
      <w:r w:rsidRPr="007C2F52">
        <w:rPr>
          <w:szCs w:val="24"/>
        </w:rPr>
        <w:sym w:font="Symbol" w:char="F066"/>
      </w:r>
      <w:r>
        <w:rPr>
          <w:szCs w:val="24"/>
        </w:rPr>
        <w:t xml:space="preserve"> is greatly affected by nonuniformity of the marginals but </w:t>
      </w:r>
      <w:r w:rsidRPr="00DF7891">
        <w:rPr>
          <w:i/>
          <w:szCs w:val="24"/>
        </w:rPr>
        <w:t>OR</w:t>
      </w:r>
      <w:r>
        <w:rPr>
          <w:szCs w:val="24"/>
        </w:rPr>
        <w:t xml:space="preserve"> is not.</w:t>
      </w:r>
    </w:p>
    <w:p w:rsidR="00DF7891" w:rsidRPr="0087580E" w:rsidRDefault="00DF7891" w:rsidP="00DF7891">
      <w:pPr>
        <w:spacing w:before="60" w:after="60"/>
        <w:rPr>
          <w:szCs w:val="24"/>
        </w:rPr>
      </w:pPr>
      <w:r>
        <w:rPr>
          <w:szCs w:val="24"/>
        </w:rPr>
        <w:tab/>
        <w:t xml:space="preserve">Here are some more examples.  With uniform marginals, a phi of .1 corresponds to an </w:t>
      </w:r>
      <w:r w:rsidRPr="00DF7891">
        <w:rPr>
          <w:i/>
          <w:szCs w:val="24"/>
        </w:rPr>
        <w:t>OR</w:t>
      </w:r>
      <w:r>
        <w:rPr>
          <w:szCs w:val="24"/>
        </w:rPr>
        <w:t xml:space="preserve"> of 1.49.  Here I increase the base rate of positive outcomes and the ratio of the odds, keeping </w:t>
      </w:r>
      <w:r w:rsidRPr="007C2F52">
        <w:rPr>
          <w:szCs w:val="24"/>
        </w:rPr>
        <w:sym w:font="Symbol" w:char="F066"/>
      </w:r>
      <w:r>
        <w:rPr>
          <w:szCs w:val="24"/>
        </w:rPr>
        <w:t xml:space="preserve"> at .1.</w:t>
      </w:r>
    </w:p>
    <w:p w:rsidR="0087580E" w:rsidRDefault="0087580E" w:rsidP="008D2286">
      <w:pPr>
        <w:spacing w:before="60" w:after="60"/>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615"/>
        <w:gridCol w:w="1609"/>
        <w:gridCol w:w="3440"/>
      </w:tblGrid>
      <w:tr w:rsidR="00E519CF" w:rsidTr="00E519CF">
        <w:tc>
          <w:tcPr>
            <w:tcW w:w="1190" w:type="dxa"/>
            <w:tcBorders>
              <w:top w:val="nil"/>
              <w:left w:val="nil"/>
            </w:tcBorders>
            <w:vAlign w:val="center"/>
          </w:tcPr>
          <w:p w:rsidR="00E519CF" w:rsidRDefault="00E519CF" w:rsidP="00E519CF">
            <w:pPr>
              <w:spacing w:before="60" w:after="60"/>
              <w:rPr>
                <w:szCs w:val="24"/>
              </w:rPr>
            </w:pPr>
          </w:p>
        </w:tc>
        <w:tc>
          <w:tcPr>
            <w:tcW w:w="3224" w:type="dxa"/>
            <w:gridSpan w:val="2"/>
            <w:vAlign w:val="center"/>
          </w:tcPr>
          <w:p w:rsidR="00E519CF" w:rsidRDefault="00E519CF" w:rsidP="00E519CF">
            <w:pPr>
              <w:spacing w:before="60" w:after="60"/>
              <w:jc w:val="center"/>
              <w:rPr>
                <w:szCs w:val="24"/>
              </w:rPr>
            </w:pPr>
            <w:r>
              <w:rPr>
                <w:szCs w:val="24"/>
              </w:rPr>
              <w:t>Experimental Group</w:t>
            </w:r>
          </w:p>
        </w:tc>
        <w:tc>
          <w:tcPr>
            <w:tcW w:w="3440" w:type="dxa"/>
            <w:tcBorders>
              <w:top w:val="nil"/>
              <w:right w:val="nil"/>
            </w:tcBorders>
            <w:vAlign w:val="center"/>
          </w:tcPr>
          <w:p w:rsidR="00E519CF" w:rsidRDefault="00E519CF" w:rsidP="00E519CF">
            <w:pPr>
              <w:spacing w:before="60" w:after="60"/>
              <w:jc w:val="center"/>
              <w:rPr>
                <w:szCs w:val="24"/>
              </w:rPr>
            </w:pPr>
          </w:p>
        </w:tc>
      </w:tr>
      <w:tr w:rsidR="00E519CF" w:rsidTr="00E519CF">
        <w:trPr>
          <w:cantSplit/>
        </w:trPr>
        <w:tc>
          <w:tcPr>
            <w:tcW w:w="1190" w:type="dxa"/>
            <w:vAlign w:val="center"/>
          </w:tcPr>
          <w:p w:rsidR="00E519CF" w:rsidRDefault="00E519CF" w:rsidP="00E519CF">
            <w:pPr>
              <w:spacing w:before="60" w:after="60"/>
              <w:rPr>
                <w:szCs w:val="24"/>
              </w:rPr>
            </w:pPr>
            <w:r>
              <w:rPr>
                <w:szCs w:val="24"/>
              </w:rPr>
              <w:t>Outcome</w:t>
            </w:r>
          </w:p>
        </w:tc>
        <w:tc>
          <w:tcPr>
            <w:tcW w:w="1615" w:type="dxa"/>
            <w:vAlign w:val="center"/>
          </w:tcPr>
          <w:p w:rsidR="00E519CF" w:rsidRDefault="00E519CF" w:rsidP="00E519CF">
            <w:pPr>
              <w:spacing w:before="60" w:after="60"/>
              <w:jc w:val="center"/>
              <w:rPr>
                <w:szCs w:val="24"/>
              </w:rPr>
            </w:pPr>
            <w:r>
              <w:rPr>
                <w:szCs w:val="24"/>
              </w:rPr>
              <w:t>Treatment</w:t>
            </w:r>
          </w:p>
        </w:tc>
        <w:tc>
          <w:tcPr>
            <w:tcW w:w="1609" w:type="dxa"/>
            <w:vAlign w:val="center"/>
          </w:tcPr>
          <w:p w:rsidR="00E519CF" w:rsidRDefault="00E519CF" w:rsidP="00E519CF">
            <w:pPr>
              <w:spacing w:before="60" w:after="60"/>
              <w:jc w:val="center"/>
              <w:rPr>
                <w:szCs w:val="24"/>
              </w:rPr>
            </w:pPr>
            <w:r>
              <w:rPr>
                <w:szCs w:val="24"/>
              </w:rPr>
              <w:t>Control</w:t>
            </w:r>
          </w:p>
        </w:tc>
        <w:tc>
          <w:tcPr>
            <w:tcW w:w="3440" w:type="dxa"/>
            <w:vMerge w:val="restart"/>
            <w:vAlign w:val="center"/>
          </w:tcPr>
          <w:p w:rsidR="00E519CF" w:rsidRPr="001C7869" w:rsidRDefault="00E519CF" w:rsidP="00E519CF">
            <w:pPr>
              <w:spacing w:before="60" w:after="60"/>
              <w:rPr>
                <w:sz w:val="32"/>
                <w:szCs w:val="32"/>
              </w:rPr>
            </w:pPr>
            <w:r w:rsidRPr="001C7869">
              <w:rPr>
                <w:sz w:val="32"/>
                <w:szCs w:val="32"/>
              </w:rPr>
              <w:sym w:font="Symbol" w:char="F066"/>
            </w:r>
            <w:r w:rsidRPr="001C7869">
              <w:rPr>
                <w:sz w:val="32"/>
                <w:szCs w:val="32"/>
              </w:rPr>
              <w:t xml:space="preserve"> = .1</w:t>
            </w:r>
            <w:r w:rsidR="00A54499">
              <w:rPr>
                <w:sz w:val="32"/>
                <w:szCs w:val="32"/>
              </w:rPr>
              <w:t>0</w:t>
            </w:r>
            <w:r w:rsidRPr="001C7869">
              <w:rPr>
                <w:sz w:val="32"/>
                <w:szCs w:val="32"/>
              </w:rPr>
              <w:t xml:space="preserve">, </w:t>
            </w:r>
            <w:r w:rsidRPr="001C7869">
              <w:rPr>
                <w:i/>
                <w:sz w:val="32"/>
                <w:szCs w:val="32"/>
              </w:rPr>
              <w:t>OR</w:t>
            </w:r>
            <w:r w:rsidRPr="001C7869">
              <w:rPr>
                <w:sz w:val="32"/>
                <w:szCs w:val="32"/>
              </w:rPr>
              <w:t xml:space="preserve"> = 2.26</w:t>
            </w:r>
          </w:p>
        </w:tc>
      </w:tr>
      <w:tr w:rsidR="00E519CF" w:rsidTr="00E519CF">
        <w:trPr>
          <w:cantSplit/>
        </w:trPr>
        <w:tc>
          <w:tcPr>
            <w:tcW w:w="1190" w:type="dxa"/>
            <w:vAlign w:val="center"/>
          </w:tcPr>
          <w:p w:rsidR="00E519CF" w:rsidRDefault="00E519CF" w:rsidP="00E519CF">
            <w:pPr>
              <w:spacing w:before="60" w:after="60"/>
              <w:rPr>
                <w:szCs w:val="24"/>
              </w:rPr>
            </w:pPr>
            <w:r>
              <w:rPr>
                <w:szCs w:val="24"/>
              </w:rPr>
              <w:t>Positive</w:t>
            </w:r>
          </w:p>
        </w:tc>
        <w:tc>
          <w:tcPr>
            <w:tcW w:w="1615" w:type="dxa"/>
            <w:vAlign w:val="center"/>
          </w:tcPr>
          <w:p w:rsidR="00E519CF" w:rsidRDefault="00E942FC" w:rsidP="00E519CF">
            <w:pPr>
              <w:spacing w:before="60" w:after="60"/>
              <w:jc w:val="center"/>
              <w:rPr>
                <w:szCs w:val="24"/>
              </w:rPr>
            </w:pPr>
            <w:r>
              <w:rPr>
                <w:szCs w:val="24"/>
              </w:rPr>
              <w:t>800</w:t>
            </w:r>
          </w:p>
        </w:tc>
        <w:tc>
          <w:tcPr>
            <w:tcW w:w="1609" w:type="dxa"/>
            <w:vAlign w:val="center"/>
          </w:tcPr>
          <w:p w:rsidR="00E519CF" w:rsidRDefault="00E942FC" w:rsidP="00E519CF">
            <w:pPr>
              <w:spacing w:before="60" w:after="60"/>
              <w:jc w:val="center"/>
              <w:rPr>
                <w:szCs w:val="24"/>
              </w:rPr>
            </w:pPr>
            <w:r>
              <w:rPr>
                <w:szCs w:val="24"/>
              </w:rPr>
              <w:t>100</w:t>
            </w:r>
          </w:p>
        </w:tc>
        <w:tc>
          <w:tcPr>
            <w:tcW w:w="3440" w:type="dxa"/>
            <w:vMerge/>
            <w:vAlign w:val="center"/>
          </w:tcPr>
          <w:p w:rsidR="00E519CF" w:rsidRDefault="00E519CF" w:rsidP="00E519CF">
            <w:pPr>
              <w:spacing w:before="60" w:after="60"/>
              <w:jc w:val="center"/>
              <w:rPr>
                <w:szCs w:val="24"/>
              </w:rPr>
            </w:pPr>
          </w:p>
        </w:tc>
      </w:tr>
      <w:tr w:rsidR="00E519CF" w:rsidTr="00E519CF">
        <w:trPr>
          <w:cantSplit/>
        </w:trPr>
        <w:tc>
          <w:tcPr>
            <w:tcW w:w="1190" w:type="dxa"/>
            <w:vAlign w:val="center"/>
          </w:tcPr>
          <w:p w:rsidR="00E519CF" w:rsidRDefault="00E519CF" w:rsidP="00E519CF">
            <w:pPr>
              <w:spacing w:before="60" w:after="60"/>
              <w:rPr>
                <w:szCs w:val="24"/>
              </w:rPr>
            </w:pPr>
            <w:r>
              <w:rPr>
                <w:szCs w:val="24"/>
              </w:rPr>
              <w:t>Negative</w:t>
            </w:r>
          </w:p>
        </w:tc>
        <w:tc>
          <w:tcPr>
            <w:tcW w:w="1615" w:type="dxa"/>
            <w:vAlign w:val="center"/>
          </w:tcPr>
          <w:p w:rsidR="00E519CF" w:rsidRDefault="00E942FC" w:rsidP="00E519CF">
            <w:pPr>
              <w:spacing w:before="60" w:after="60"/>
              <w:jc w:val="center"/>
              <w:rPr>
                <w:szCs w:val="24"/>
              </w:rPr>
            </w:pPr>
            <w:r>
              <w:rPr>
                <w:szCs w:val="24"/>
              </w:rPr>
              <w:t>78</w:t>
            </w:r>
          </w:p>
        </w:tc>
        <w:tc>
          <w:tcPr>
            <w:tcW w:w="1609" w:type="dxa"/>
            <w:vAlign w:val="center"/>
          </w:tcPr>
          <w:p w:rsidR="00E519CF" w:rsidRDefault="00E942FC" w:rsidP="00E519CF">
            <w:pPr>
              <w:spacing w:before="60" w:after="60"/>
              <w:jc w:val="center"/>
              <w:rPr>
                <w:szCs w:val="24"/>
              </w:rPr>
            </w:pPr>
            <w:r>
              <w:rPr>
                <w:szCs w:val="24"/>
              </w:rPr>
              <w:t>22</w:t>
            </w:r>
          </w:p>
        </w:tc>
        <w:tc>
          <w:tcPr>
            <w:tcW w:w="3440" w:type="dxa"/>
            <w:vMerge/>
            <w:vAlign w:val="center"/>
          </w:tcPr>
          <w:p w:rsidR="00E519CF" w:rsidRDefault="00E519CF" w:rsidP="00E519CF">
            <w:pPr>
              <w:spacing w:before="60" w:after="60"/>
              <w:jc w:val="center"/>
              <w:rPr>
                <w:szCs w:val="24"/>
              </w:rPr>
            </w:pPr>
          </w:p>
        </w:tc>
      </w:tr>
    </w:tbl>
    <w:p w:rsidR="00E519CF" w:rsidRDefault="00E519CF" w:rsidP="008D2286">
      <w:pPr>
        <w:spacing w:before="60" w:after="60"/>
      </w:pPr>
    </w:p>
    <w:p w:rsidR="00DF7891" w:rsidRDefault="00DF7891" w:rsidP="008D2286">
      <w:pPr>
        <w:spacing w:before="60" w:after="60"/>
      </w:pPr>
      <w:r>
        <w:rPr>
          <w:szCs w:val="24"/>
        </w:rPr>
        <w:tab/>
        <w:t xml:space="preserve">With uniform marginals, a phi of .3 corresponds to an </w:t>
      </w:r>
      <w:r w:rsidRPr="00DF7891">
        <w:rPr>
          <w:i/>
          <w:szCs w:val="24"/>
        </w:rPr>
        <w:t>OR</w:t>
      </w:r>
      <w:r>
        <w:rPr>
          <w:szCs w:val="24"/>
        </w:rPr>
        <w:t xml:space="preserve"> of 3.45.  Here I increase the base rate of positive outcomes and the ratio of the odds, keeping </w:t>
      </w:r>
      <w:r w:rsidRPr="007C2F52">
        <w:rPr>
          <w:szCs w:val="24"/>
        </w:rPr>
        <w:sym w:font="Symbol" w:char="F066"/>
      </w:r>
      <w:r>
        <w:rPr>
          <w:szCs w:val="24"/>
        </w:rPr>
        <w:t xml:space="preserve"> at .3.</w:t>
      </w:r>
    </w:p>
    <w:p w:rsidR="00DF7891" w:rsidRDefault="00DF7891" w:rsidP="008D2286">
      <w:pPr>
        <w:spacing w:before="60" w:after="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615"/>
        <w:gridCol w:w="1609"/>
        <w:gridCol w:w="3440"/>
      </w:tblGrid>
      <w:tr w:rsidR="00F74DD5" w:rsidTr="00F74DD5">
        <w:tc>
          <w:tcPr>
            <w:tcW w:w="1190" w:type="dxa"/>
            <w:tcBorders>
              <w:top w:val="nil"/>
              <w:left w:val="nil"/>
            </w:tcBorders>
            <w:vAlign w:val="center"/>
          </w:tcPr>
          <w:p w:rsidR="00F74DD5" w:rsidRDefault="00F74DD5" w:rsidP="00F74DD5">
            <w:pPr>
              <w:spacing w:before="60" w:after="60"/>
              <w:rPr>
                <w:szCs w:val="24"/>
              </w:rPr>
            </w:pPr>
          </w:p>
        </w:tc>
        <w:tc>
          <w:tcPr>
            <w:tcW w:w="3224" w:type="dxa"/>
            <w:gridSpan w:val="2"/>
            <w:vAlign w:val="center"/>
          </w:tcPr>
          <w:p w:rsidR="00F74DD5" w:rsidRDefault="00F74DD5" w:rsidP="00F74DD5">
            <w:pPr>
              <w:spacing w:before="60" w:after="60"/>
              <w:jc w:val="center"/>
              <w:rPr>
                <w:szCs w:val="24"/>
              </w:rPr>
            </w:pPr>
            <w:r>
              <w:rPr>
                <w:szCs w:val="24"/>
              </w:rPr>
              <w:t>Experimental Group</w:t>
            </w:r>
          </w:p>
        </w:tc>
        <w:tc>
          <w:tcPr>
            <w:tcW w:w="3440" w:type="dxa"/>
            <w:tcBorders>
              <w:top w:val="nil"/>
              <w:right w:val="nil"/>
            </w:tcBorders>
            <w:vAlign w:val="center"/>
          </w:tcPr>
          <w:p w:rsidR="00F74DD5" w:rsidRDefault="00F74DD5" w:rsidP="00F74DD5">
            <w:pPr>
              <w:spacing w:before="60" w:after="60"/>
              <w:jc w:val="center"/>
              <w:rPr>
                <w:szCs w:val="24"/>
              </w:rPr>
            </w:pPr>
          </w:p>
        </w:tc>
      </w:tr>
      <w:tr w:rsidR="00F74DD5" w:rsidTr="00F74DD5">
        <w:trPr>
          <w:cantSplit/>
        </w:trPr>
        <w:tc>
          <w:tcPr>
            <w:tcW w:w="1190" w:type="dxa"/>
            <w:vAlign w:val="center"/>
          </w:tcPr>
          <w:p w:rsidR="00F74DD5" w:rsidRDefault="00F74DD5" w:rsidP="00F74DD5">
            <w:pPr>
              <w:spacing w:before="60" w:after="60"/>
              <w:rPr>
                <w:szCs w:val="24"/>
              </w:rPr>
            </w:pPr>
            <w:r>
              <w:rPr>
                <w:szCs w:val="24"/>
              </w:rPr>
              <w:t>Outcome</w:t>
            </w:r>
          </w:p>
        </w:tc>
        <w:tc>
          <w:tcPr>
            <w:tcW w:w="1615" w:type="dxa"/>
            <w:vAlign w:val="center"/>
          </w:tcPr>
          <w:p w:rsidR="00F74DD5" w:rsidRDefault="00F74DD5" w:rsidP="00F74DD5">
            <w:pPr>
              <w:spacing w:before="60" w:after="60"/>
              <w:jc w:val="center"/>
              <w:rPr>
                <w:szCs w:val="24"/>
              </w:rPr>
            </w:pPr>
            <w:r>
              <w:rPr>
                <w:szCs w:val="24"/>
              </w:rPr>
              <w:t>Treatment</w:t>
            </w:r>
          </w:p>
        </w:tc>
        <w:tc>
          <w:tcPr>
            <w:tcW w:w="1609" w:type="dxa"/>
            <w:vAlign w:val="center"/>
          </w:tcPr>
          <w:p w:rsidR="00F74DD5" w:rsidRDefault="00F74DD5" w:rsidP="00F74DD5">
            <w:pPr>
              <w:spacing w:before="60" w:after="60"/>
              <w:jc w:val="center"/>
              <w:rPr>
                <w:szCs w:val="24"/>
              </w:rPr>
            </w:pPr>
            <w:r>
              <w:rPr>
                <w:szCs w:val="24"/>
              </w:rPr>
              <w:t>Control</w:t>
            </w:r>
          </w:p>
        </w:tc>
        <w:tc>
          <w:tcPr>
            <w:tcW w:w="3440" w:type="dxa"/>
            <w:vMerge w:val="restart"/>
            <w:vAlign w:val="center"/>
          </w:tcPr>
          <w:p w:rsidR="00F74DD5" w:rsidRPr="001C7869" w:rsidRDefault="00F74DD5" w:rsidP="00F74DD5">
            <w:pPr>
              <w:spacing w:before="60" w:after="60"/>
              <w:rPr>
                <w:sz w:val="32"/>
                <w:szCs w:val="32"/>
              </w:rPr>
            </w:pPr>
            <w:r w:rsidRPr="001C7869">
              <w:rPr>
                <w:sz w:val="32"/>
                <w:szCs w:val="32"/>
              </w:rPr>
              <w:sym w:font="Symbol" w:char="F066"/>
            </w:r>
            <w:r w:rsidRPr="001C7869">
              <w:rPr>
                <w:sz w:val="32"/>
                <w:szCs w:val="32"/>
              </w:rPr>
              <w:t xml:space="preserve"> = .</w:t>
            </w:r>
            <w:r>
              <w:rPr>
                <w:sz w:val="32"/>
                <w:szCs w:val="32"/>
              </w:rPr>
              <w:t>30</w:t>
            </w:r>
            <w:r w:rsidRPr="001C7869">
              <w:rPr>
                <w:sz w:val="32"/>
                <w:szCs w:val="32"/>
              </w:rPr>
              <w:t xml:space="preserve">, </w:t>
            </w:r>
            <w:r w:rsidRPr="001C7869">
              <w:rPr>
                <w:i/>
                <w:sz w:val="32"/>
                <w:szCs w:val="32"/>
              </w:rPr>
              <w:t>OR</w:t>
            </w:r>
            <w:r w:rsidRPr="001C7869">
              <w:rPr>
                <w:sz w:val="32"/>
                <w:szCs w:val="32"/>
              </w:rPr>
              <w:t xml:space="preserve"> = </w:t>
            </w:r>
            <w:r>
              <w:rPr>
                <w:sz w:val="32"/>
                <w:szCs w:val="32"/>
              </w:rPr>
              <w:t>6.93</w:t>
            </w:r>
          </w:p>
        </w:tc>
      </w:tr>
      <w:tr w:rsidR="00F74DD5" w:rsidTr="00F74DD5">
        <w:trPr>
          <w:cantSplit/>
        </w:trPr>
        <w:tc>
          <w:tcPr>
            <w:tcW w:w="1190" w:type="dxa"/>
            <w:vAlign w:val="center"/>
          </w:tcPr>
          <w:p w:rsidR="00F74DD5" w:rsidRDefault="00F74DD5" w:rsidP="00F74DD5">
            <w:pPr>
              <w:spacing w:before="60" w:after="60"/>
              <w:rPr>
                <w:szCs w:val="24"/>
              </w:rPr>
            </w:pPr>
            <w:r>
              <w:rPr>
                <w:szCs w:val="24"/>
              </w:rPr>
              <w:t>Positive</w:t>
            </w:r>
          </w:p>
        </w:tc>
        <w:tc>
          <w:tcPr>
            <w:tcW w:w="1615" w:type="dxa"/>
            <w:vAlign w:val="center"/>
          </w:tcPr>
          <w:p w:rsidR="00F74DD5" w:rsidRDefault="00F74DD5" w:rsidP="00F74DD5">
            <w:pPr>
              <w:spacing w:before="60" w:after="60"/>
              <w:jc w:val="center"/>
              <w:rPr>
                <w:szCs w:val="24"/>
              </w:rPr>
            </w:pPr>
            <w:r>
              <w:rPr>
                <w:szCs w:val="24"/>
              </w:rPr>
              <w:t>795</w:t>
            </w:r>
          </w:p>
        </w:tc>
        <w:tc>
          <w:tcPr>
            <w:tcW w:w="1609" w:type="dxa"/>
            <w:vAlign w:val="center"/>
          </w:tcPr>
          <w:p w:rsidR="00F74DD5" w:rsidRDefault="00F74DD5" w:rsidP="00F74DD5">
            <w:pPr>
              <w:spacing w:before="60" w:after="60"/>
              <w:jc w:val="center"/>
              <w:rPr>
                <w:szCs w:val="24"/>
              </w:rPr>
            </w:pPr>
            <w:r>
              <w:rPr>
                <w:szCs w:val="24"/>
              </w:rPr>
              <w:t>96</w:t>
            </w:r>
          </w:p>
        </w:tc>
        <w:tc>
          <w:tcPr>
            <w:tcW w:w="3440" w:type="dxa"/>
            <w:vMerge/>
            <w:vAlign w:val="center"/>
          </w:tcPr>
          <w:p w:rsidR="00F74DD5" w:rsidRDefault="00F74DD5" w:rsidP="00F74DD5">
            <w:pPr>
              <w:spacing w:before="60" w:after="60"/>
              <w:jc w:val="center"/>
              <w:rPr>
                <w:szCs w:val="24"/>
              </w:rPr>
            </w:pPr>
          </w:p>
        </w:tc>
      </w:tr>
      <w:tr w:rsidR="00F74DD5" w:rsidTr="00F74DD5">
        <w:trPr>
          <w:cantSplit/>
        </w:trPr>
        <w:tc>
          <w:tcPr>
            <w:tcW w:w="1190" w:type="dxa"/>
            <w:vAlign w:val="center"/>
          </w:tcPr>
          <w:p w:rsidR="00F74DD5" w:rsidRDefault="00F74DD5" w:rsidP="00F74DD5">
            <w:pPr>
              <w:spacing w:before="60" w:after="60"/>
              <w:rPr>
                <w:szCs w:val="24"/>
              </w:rPr>
            </w:pPr>
            <w:r>
              <w:rPr>
                <w:szCs w:val="24"/>
              </w:rPr>
              <w:t>Negative</w:t>
            </w:r>
          </w:p>
        </w:tc>
        <w:tc>
          <w:tcPr>
            <w:tcW w:w="1615" w:type="dxa"/>
            <w:vAlign w:val="center"/>
          </w:tcPr>
          <w:p w:rsidR="00F74DD5" w:rsidRDefault="00F74DD5" w:rsidP="00F74DD5">
            <w:pPr>
              <w:spacing w:before="60" w:after="60"/>
              <w:jc w:val="center"/>
              <w:rPr>
                <w:szCs w:val="24"/>
              </w:rPr>
            </w:pPr>
            <w:r>
              <w:rPr>
                <w:szCs w:val="24"/>
              </w:rPr>
              <w:t>55</w:t>
            </w:r>
          </w:p>
        </w:tc>
        <w:tc>
          <w:tcPr>
            <w:tcW w:w="1609" w:type="dxa"/>
            <w:vAlign w:val="center"/>
          </w:tcPr>
          <w:p w:rsidR="00F74DD5" w:rsidRDefault="00F74DD5" w:rsidP="00F74DD5">
            <w:pPr>
              <w:spacing w:before="60" w:after="60"/>
              <w:jc w:val="center"/>
              <w:rPr>
                <w:szCs w:val="24"/>
              </w:rPr>
            </w:pPr>
            <w:r>
              <w:rPr>
                <w:szCs w:val="24"/>
              </w:rPr>
              <w:t>46</w:t>
            </w:r>
          </w:p>
        </w:tc>
        <w:tc>
          <w:tcPr>
            <w:tcW w:w="3440" w:type="dxa"/>
            <w:vMerge/>
            <w:vAlign w:val="center"/>
          </w:tcPr>
          <w:p w:rsidR="00F74DD5" w:rsidRDefault="00F74DD5" w:rsidP="00F74DD5">
            <w:pPr>
              <w:spacing w:before="60" w:after="60"/>
              <w:jc w:val="center"/>
              <w:rPr>
                <w:szCs w:val="24"/>
              </w:rPr>
            </w:pPr>
          </w:p>
        </w:tc>
      </w:tr>
    </w:tbl>
    <w:p w:rsidR="001C7869" w:rsidRDefault="001C7869" w:rsidP="008D2286">
      <w:pPr>
        <w:spacing w:before="60" w:after="60"/>
      </w:pPr>
    </w:p>
    <w:p w:rsidR="00DF7891" w:rsidRDefault="00DF7891" w:rsidP="00DF7891">
      <w:pPr>
        <w:spacing w:before="60" w:after="60"/>
      </w:pPr>
      <w:r>
        <w:rPr>
          <w:szCs w:val="24"/>
        </w:rPr>
        <w:tab/>
        <w:t xml:space="preserve">With uniform marginals, a phi of .5 corresponds to an </w:t>
      </w:r>
      <w:r w:rsidRPr="00DF7891">
        <w:rPr>
          <w:i/>
          <w:szCs w:val="24"/>
        </w:rPr>
        <w:t>OR</w:t>
      </w:r>
      <w:r>
        <w:rPr>
          <w:szCs w:val="24"/>
        </w:rPr>
        <w:t xml:space="preserve"> of 9.  Here I increase the base rate of positive outcomes and the ratio of the odds, keeping </w:t>
      </w:r>
      <w:r w:rsidRPr="007C2F52">
        <w:rPr>
          <w:szCs w:val="24"/>
        </w:rPr>
        <w:sym w:font="Symbol" w:char="F066"/>
      </w:r>
      <w:r>
        <w:rPr>
          <w:szCs w:val="24"/>
        </w:rPr>
        <w:t xml:space="preserve"> at .5.</w:t>
      </w:r>
    </w:p>
    <w:p w:rsidR="001C7869" w:rsidRDefault="001C7869" w:rsidP="008D2286">
      <w:pPr>
        <w:spacing w:before="60" w:after="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615"/>
        <w:gridCol w:w="1609"/>
        <w:gridCol w:w="3440"/>
      </w:tblGrid>
      <w:tr w:rsidR="001C7869" w:rsidTr="001C7869">
        <w:tc>
          <w:tcPr>
            <w:tcW w:w="1190" w:type="dxa"/>
            <w:tcBorders>
              <w:top w:val="nil"/>
              <w:left w:val="nil"/>
            </w:tcBorders>
            <w:vAlign w:val="center"/>
          </w:tcPr>
          <w:p w:rsidR="001C7869" w:rsidRDefault="001C7869" w:rsidP="001C7869">
            <w:pPr>
              <w:spacing w:before="60" w:after="60"/>
              <w:rPr>
                <w:szCs w:val="24"/>
              </w:rPr>
            </w:pPr>
          </w:p>
        </w:tc>
        <w:tc>
          <w:tcPr>
            <w:tcW w:w="3224" w:type="dxa"/>
            <w:gridSpan w:val="2"/>
            <w:vAlign w:val="center"/>
          </w:tcPr>
          <w:p w:rsidR="001C7869" w:rsidRDefault="001C7869" w:rsidP="001C7869">
            <w:pPr>
              <w:spacing w:before="60" w:after="60"/>
              <w:jc w:val="center"/>
              <w:rPr>
                <w:szCs w:val="24"/>
              </w:rPr>
            </w:pPr>
            <w:r>
              <w:rPr>
                <w:szCs w:val="24"/>
              </w:rPr>
              <w:t>Experimental Group</w:t>
            </w:r>
          </w:p>
        </w:tc>
        <w:tc>
          <w:tcPr>
            <w:tcW w:w="3440" w:type="dxa"/>
            <w:tcBorders>
              <w:top w:val="nil"/>
              <w:right w:val="nil"/>
            </w:tcBorders>
            <w:vAlign w:val="center"/>
          </w:tcPr>
          <w:p w:rsidR="001C7869" w:rsidRDefault="001C7869" w:rsidP="001C7869">
            <w:pPr>
              <w:spacing w:before="60" w:after="60"/>
              <w:jc w:val="center"/>
              <w:rPr>
                <w:szCs w:val="24"/>
              </w:rPr>
            </w:pPr>
          </w:p>
        </w:tc>
      </w:tr>
      <w:tr w:rsidR="001C7869" w:rsidTr="001C7869">
        <w:trPr>
          <w:cantSplit/>
        </w:trPr>
        <w:tc>
          <w:tcPr>
            <w:tcW w:w="1190" w:type="dxa"/>
            <w:vAlign w:val="center"/>
          </w:tcPr>
          <w:p w:rsidR="001C7869" w:rsidRDefault="001C7869" w:rsidP="001C7869">
            <w:pPr>
              <w:spacing w:before="60" w:after="60"/>
              <w:rPr>
                <w:szCs w:val="24"/>
              </w:rPr>
            </w:pPr>
            <w:r>
              <w:rPr>
                <w:szCs w:val="24"/>
              </w:rPr>
              <w:t>Outcome</w:t>
            </w:r>
          </w:p>
        </w:tc>
        <w:tc>
          <w:tcPr>
            <w:tcW w:w="1615" w:type="dxa"/>
            <w:vAlign w:val="center"/>
          </w:tcPr>
          <w:p w:rsidR="001C7869" w:rsidRDefault="001C7869" w:rsidP="001C7869">
            <w:pPr>
              <w:spacing w:before="60" w:after="60"/>
              <w:jc w:val="center"/>
              <w:rPr>
                <w:szCs w:val="24"/>
              </w:rPr>
            </w:pPr>
            <w:r>
              <w:rPr>
                <w:szCs w:val="24"/>
              </w:rPr>
              <w:t>Treatment</w:t>
            </w:r>
          </w:p>
        </w:tc>
        <w:tc>
          <w:tcPr>
            <w:tcW w:w="1609" w:type="dxa"/>
            <w:vAlign w:val="center"/>
          </w:tcPr>
          <w:p w:rsidR="001C7869" w:rsidRDefault="001C7869" w:rsidP="001C7869">
            <w:pPr>
              <w:spacing w:before="60" w:after="60"/>
              <w:jc w:val="center"/>
              <w:rPr>
                <w:szCs w:val="24"/>
              </w:rPr>
            </w:pPr>
            <w:r>
              <w:rPr>
                <w:szCs w:val="24"/>
              </w:rPr>
              <w:t>Control</w:t>
            </w:r>
          </w:p>
        </w:tc>
        <w:tc>
          <w:tcPr>
            <w:tcW w:w="3440" w:type="dxa"/>
            <w:vMerge w:val="restart"/>
            <w:vAlign w:val="center"/>
          </w:tcPr>
          <w:p w:rsidR="001C7869" w:rsidRPr="001C7869" w:rsidRDefault="001C7869" w:rsidP="001C7869">
            <w:pPr>
              <w:spacing w:before="60" w:after="60"/>
              <w:rPr>
                <w:sz w:val="32"/>
                <w:szCs w:val="32"/>
              </w:rPr>
            </w:pPr>
            <w:r w:rsidRPr="001C7869">
              <w:rPr>
                <w:sz w:val="32"/>
                <w:szCs w:val="32"/>
              </w:rPr>
              <w:sym w:font="Symbol" w:char="F066"/>
            </w:r>
            <w:r w:rsidRPr="001C7869">
              <w:rPr>
                <w:sz w:val="32"/>
                <w:szCs w:val="32"/>
              </w:rPr>
              <w:t xml:space="preserve"> = .</w:t>
            </w:r>
            <w:r w:rsidR="004D2C6C">
              <w:rPr>
                <w:sz w:val="32"/>
                <w:szCs w:val="32"/>
              </w:rPr>
              <w:t>50</w:t>
            </w:r>
            <w:r w:rsidRPr="001C7869">
              <w:rPr>
                <w:sz w:val="32"/>
                <w:szCs w:val="32"/>
              </w:rPr>
              <w:t xml:space="preserve">, </w:t>
            </w:r>
            <w:r w:rsidRPr="001C7869">
              <w:rPr>
                <w:i/>
                <w:sz w:val="32"/>
                <w:szCs w:val="32"/>
              </w:rPr>
              <w:t>OR</w:t>
            </w:r>
            <w:r w:rsidRPr="001C7869">
              <w:rPr>
                <w:sz w:val="32"/>
                <w:szCs w:val="32"/>
              </w:rPr>
              <w:t xml:space="preserve"> = </w:t>
            </w:r>
            <w:r w:rsidR="004D2C6C">
              <w:rPr>
                <w:sz w:val="32"/>
                <w:szCs w:val="32"/>
              </w:rPr>
              <w:t>2</w:t>
            </w:r>
            <w:r w:rsidR="00F74DD5">
              <w:rPr>
                <w:sz w:val="32"/>
                <w:szCs w:val="32"/>
              </w:rPr>
              <w:t>3.00</w:t>
            </w:r>
          </w:p>
        </w:tc>
      </w:tr>
      <w:tr w:rsidR="001C7869" w:rsidTr="001C7869">
        <w:trPr>
          <w:cantSplit/>
        </w:trPr>
        <w:tc>
          <w:tcPr>
            <w:tcW w:w="1190" w:type="dxa"/>
            <w:vAlign w:val="center"/>
          </w:tcPr>
          <w:p w:rsidR="001C7869" w:rsidRDefault="001C7869" w:rsidP="001C7869">
            <w:pPr>
              <w:spacing w:before="60" w:after="60"/>
              <w:rPr>
                <w:szCs w:val="24"/>
              </w:rPr>
            </w:pPr>
            <w:r>
              <w:rPr>
                <w:szCs w:val="24"/>
              </w:rPr>
              <w:t>Positive</w:t>
            </w:r>
          </w:p>
        </w:tc>
        <w:tc>
          <w:tcPr>
            <w:tcW w:w="1615" w:type="dxa"/>
            <w:vAlign w:val="center"/>
          </w:tcPr>
          <w:p w:rsidR="001C7869" w:rsidRDefault="004D2C6C" w:rsidP="001C7869">
            <w:pPr>
              <w:spacing w:before="60" w:after="60"/>
              <w:jc w:val="center"/>
              <w:rPr>
                <w:szCs w:val="24"/>
              </w:rPr>
            </w:pPr>
            <w:r>
              <w:rPr>
                <w:szCs w:val="24"/>
              </w:rPr>
              <w:t>800</w:t>
            </w:r>
          </w:p>
        </w:tc>
        <w:tc>
          <w:tcPr>
            <w:tcW w:w="1609" w:type="dxa"/>
            <w:vAlign w:val="center"/>
          </w:tcPr>
          <w:p w:rsidR="001C7869" w:rsidRDefault="004D2C6C" w:rsidP="001C7869">
            <w:pPr>
              <w:spacing w:before="60" w:after="60"/>
              <w:jc w:val="center"/>
              <w:rPr>
                <w:szCs w:val="24"/>
              </w:rPr>
            </w:pPr>
            <w:r>
              <w:rPr>
                <w:szCs w:val="24"/>
              </w:rPr>
              <w:t>99</w:t>
            </w:r>
          </w:p>
        </w:tc>
        <w:tc>
          <w:tcPr>
            <w:tcW w:w="3440" w:type="dxa"/>
            <w:vMerge/>
            <w:vAlign w:val="center"/>
          </w:tcPr>
          <w:p w:rsidR="001C7869" w:rsidRDefault="001C7869" w:rsidP="001C7869">
            <w:pPr>
              <w:spacing w:before="60" w:after="60"/>
              <w:jc w:val="center"/>
              <w:rPr>
                <w:szCs w:val="24"/>
              </w:rPr>
            </w:pPr>
          </w:p>
        </w:tc>
      </w:tr>
      <w:tr w:rsidR="001C7869" w:rsidTr="001C7869">
        <w:trPr>
          <w:cantSplit/>
        </w:trPr>
        <w:tc>
          <w:tcPr>
            <w:tcW w:w="1190" w:type="dxa"/>
            <w:vAlign w:val="center"/>
          </w:tcPr>
          <w:p w:rsidR="001C7869" w:rsidRDefault="001C7869" w:rsidP="001C7869">
            <w:pPr>
              <w:spacing w:before="60" w:after="60"/>
              <w:rPr>
                <w:szCs w:val="24"/>
              </w:rPr>
            </w:pPr>
            <w:r>
              <w:rPr>
                <w:szCs w:val="24"/>
              </w:rPr>
              <w:t>Negative</w:t>
            </w:r>
          </w:p>
        </w:tc>
        <w:tc>
          <w:tcPr>
            <w:tcW w:w="1615" w:type="dxa"/>
            <w:vAlign w:val="center"/>
          </w:tcPr>
          <w:p w:rsidR="001C7869" w:rsidRDefault="004D2C6C" w:rsidP="001C7869">
            <w:pPr>
              <w:spacing w:before="60" w:after="60"/>
              <w:jc w:val="center"/>
              <w:rPr>
                <w:szCs w:val="24"/>
              </w:rPr>
            </w:pPr>
            <w:r>
              <w:rPr>
                <w:szCs w:val="24"/>
              </w:rPr>
              <w:t>26</w:t>
            </w:r>
          </w:p>
        </w:tc>
        <w:tc>
          <w:tcPr>
            <w:tcW w:w="1609" w:type="dxa"/>
            <w:vAlign w:val="center"/>
          </w:tcPr>
          <w:p w:rsidR="001C7869" w:rsidRDefault="004D2C6C" w:rsidP="001C7869">
            <w:pPr>
              <w:spacing w:before="60" w:after="60"/>
              <w:jc w:val="center"/>
              <w:rPr>
                <w:szCs w:val="24"/>
              </w:rPr>
            </w:pPr>
            <w:r>
              <w:rPr>
                <w:szCs w:val="24"/>
              </w:rPr>
              <w:t>74</w:t>
            </w:r>
          </w:p>
        </w:tc>
        <w:tc>
          <w:tcPr>
            <w:tcW w:w="3440" w:type="dxa"/>
            <w:vMerge/>
            <w:vAlign w:val="center"/>
          </w:tcPr>
          <w:p w:rsidR="001C7869" w:rsidRDefault="001C7869" w:rsidP="001C7869">
            <w:pPr>
              <w:spacing w:before="60" w:after="60"/>
              <w:jc w:val="center"/>
              <w:rPr>
                <w:szCs w:val="24"/>
              </w:rPr>
            </w:pPr>
          </w:p>
        </w:tc>
      </w:tr>
    </w:tbl>
    <w:p w:rsidR="001C7869" w:rsidRDefault="001C7869" w:rsidP="008D2286">
      <w:pPr>
        <w:spacing w:before="60" w:after="60"/>
      </w:pPr>
    </w:p>
    <w:p w:rsidR="00D70973" w:rsidRPr="0075206E" w:rsidRDefault="0075206E" w:rsidP="008D2286">
      <w:pPr>
        <w:spacing w:before="60" w:after="60"/>
      </w:pPr>
      <w:r>
        <w:tab/>
        <w:t xml:space="preserve">In a very similar fashion, when comparing two groups’ means, the correspondence between the standardized difference between means (Cohen’s d) and the point-biserial correlation coefficient (when squared, a proportion of variance, also known as eta-squared) depends on how much the within-group sample sizes differ from each other.  See my document </w:t>
      </w:r>
      <w:hyperlink r:id="rId6" w:history="1">
        <w:r w:rsidRPr="0075206E">
          <w:rPr>
            <w:rStyle w:val="Hyperlink"/>
            <w:rFonts w:cs="Arial"/>
            <w:bCs/>
            <w:szCs w:val="24"/>
          </w:rPr>
          <w:t xml:space="preserve">Effect of </w:t>
        </w:r>
        <w:r w:rsidRPr="0075206E">
          <w:rPr>
            <w:rStyle w:val="Hyperlink"/>
            <w:rFonts w:cs="Arial"/>
            <w:bCs/>
            <w:i/>
            <w:iCs/>
            <w:szCs w:val="24"/>
          </w:rPr>
          <w:t>n</w:t>
        </w:r>
        <w:r w:rsidRPr="0075206E">
          <w:rPr>
            <w:rStyle w:val="Hyperlink"/>
            <w:rFonts w:cs="Arial"/>
            <w:bCs/>
            <w:i/>
            <w:iCs/>
            <w:szCs w:val="24"/>
            <w:vertAlign w:val="subscript"/>
          </w:rPr>
          <w:t>1</w:t>
        </w:r>
        <w:r w:rsidRPr="0075206E">
          <w:rPr>
            <w:rStyle w:val="Hyperlink"/>
            <w:rFonts w:cs="Arial"/>
            <w:bCs/>
            <w:szCs w:val="24"/>
          </w:rPr>
          <w:t>/</w:t>
        </w:r>
        <w:r w:rsidRPr="0075206E">
          <w:rPr>
            <w:rStyle w:val="Hyperlink"/>
            <w:rFonts w:cs="Arial"/>
            <w:bCs/>
            <w:i/>
            <w:iCs/>
            <w:szCs w:val="24"/>
          </w:rPr>
          <w:t>n</w:t>
        </w:r>
        <w:r w:rsidRPr="0075206E">
          <w:rPr>
            <w:rStyle w:val="Hyperlink"/>
            <w:rFonts w:cs="Arial"/>
            <w:bCs/>
            <w:i/>
            <w:iCs/>
            <w:szCs w:val="24"/>
            <w:vertAlign w:val="subscript"/>
          </w:rPr>
          <w:t>2</w:t>
        </w:r>
        <w:r w:rsidRPr="0075206E">
          <w:rPr>
            <w:rStyle w:val="Hyperlink"/>
            <w:rFonts w:cs="Arial"/>
            <w:bCs/>
            <w:szCs w:val="24"/>
          </w:rPr>
          <w:t xml:space="preserve"> on Estimated </w:t>
        </w:r>
        <w:r w:rsidRPr="0075206E">
          <w:rPr>
            <w:rStyle w:val="Hyperlink"/>
            <w:rFonts w:cs="Arial"/>
            <w:bCs/>
            <w:i/>
            <w:iCs/>
            <w:szCs w:val="24"/>
          </w:rPr>
          <w:t>d</w:t>
        </w:r>
        <w:r w:rsidRPr="0075206E">
          <w:rPr>
            <w:rStyle w:val="Hyperlink"/>
            <w:rFonts w:cs="Arial"/>
            <w:bCs/>
            <w:szCs w:val="24"/>
          </w:rPr>
          <w:t xml:space="preserve"> and </w:t>
        </w:r>
        <w:r w:rsidRPr="0075206E">
          <w:rPr>
            <w:rStyle w:val="Hyperlink"/>
            <w:rFonts w:cs="Arial"/>
            <w:bCs/>
            <w:i/>
            <w:iCs/>
            <w:szCs w:val="24"/>
          </w:rPr>
          <w:t>r</w:t>
        </w:r>
        <w:r w:rsidRPr="0075206E">
          <w:rPr>
            <w:rStyle w:val="Hyperlink"/>
            <w:rFonts w:cs="Arial"/>
            <w:bCs/>
            <w:i/>
            <w:iCs/>
            <w:szCs w:val="24"/>
            <w:vertAlign w:val="subscript"/>
          </w:rPr>
          <w:t>pb</w:t>
        </w:r>
      </w:hyperlink>
      <w:r>
        <w:rPr>
          <w:rFonts w:cs="Arial"/>
          <w:bCs/>
          <w:iCs/>
          <w:szCs w:val="24"/>
        </w:rPr>
        <w:t>.</w:t>
      </w:r>
    </w:p>
    <w:p w:rsidR="00D70973" w:rsidRDefault="00D70973" w:rsidP="008D2286">
      <w:pPr>
        <w:spacing w:before="60" w:after="60"/>
      </w:pPr>
    </w:p>
    <w:p w:rsidR="008D2286" w:rsidRDefault="00623EB4" w:rsidP="00F64B7D">
      <w:pPr>
        <w:spacing w:before="60" w:after="60"/>
      </w:pPr>
      <w:r>
        <w:t xml:space="preserve">Karl L. Wuensch, </w:t>
      </w:r>
      <w:smartTag w:uri="urn:schemas-microsoft-com:office:smarttags" w:element="place">
        <w:smartTag w:uri="urn:schemas-microsoft-com:office:smarttags" w:element="PlaceName">
          <w:r>
            <w:t>East</w:t>
          </w:r>
        </w:smartTag>
        <w:r>
          <w:t xml:space="preserve"> </w:t>
        </w:r>
        <w:smartTag w:uri="urn:schemas-microsoft-com:office:smarttags" w:element="PlaceName">
          <w:r>
            <w:t>Carolina</w:t>
          </w:r>
        </w:smartTag>
        <w:r>
          <w:t xml:space="preserve"> </w:t>
        </w:r>
        <w:smartTag w:uri="urn:schemas-microsoft-com:office:smarttags" w:element="PlaceType">
          <w:r>
            <w:t>University</w:t>
          </w:r>
        </w:smartTag>
      </w:smartTag>
      <w:r>
        <w:t>, November, 2009.</w:t>
      </w:r>
    </w:p>
    <w:sectPr w:rsidR="008D2286">
      <w:pgSz w:w="12240" w:h="15840"/>
      <w:pgMar w:top="1440" w:right="1440" w:bottom="1440" w:left="1440" w:header="720" w:footer="720" w:gutter="0"/>
      <w:cols w:space="720"/>
      <w:noEndnote/>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86"/>
    <w:rsid w:val="001C7869"/>
    <w:rsid w:val="003A16D1"/>
    <w:rsid w:val="003E70DD"/>
    <w:rsid w:val="004D2C6C"/>
    <w:rsid w:val="00534FE8"/>
    <w:rsid w:val="005E2838"/>
    <w:rsid w:val="00623EB4"/>
    <w:rsid w:val="0075206E"/>
    <w:rsid w:val="0087580E"/>
    <w:rsid w:val="008D2286"/>
    <w:rsid w:val="00A54499"/>
    <w:rsid w:val="00BC376B"/>
    <w:rsid w:val="00D70973"/>
    <w:rsid w:val="00DF7891"/>
    <w:rsid w:val="00E35BBD"/>
    <w:rsid w:val="00E519CF"/>
    <w:rsid w:val="00E942FC"/>
    <w:rsid w:val="00F64B7D"/>
    <w:rsid w:val="00F74DD5"/>
    <w:rsid w:val="00FF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86"/>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table" w:styleId="TableGrid">
    <w:name w:val="Table Grid"/>
    <w:basedOn w:val="TableNormal"/>
    <w:rsid w:val="008D2286"/>
    <w:pPr>
      <w:overflowPunct w:val="0"/>
      <w:autoSpaceDE w:val="0"/>
      <w:autoSpaceDN w:val="0"/>
      <w:adjustRightInd w:val="0"/>
      <w:spacing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86"/>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table" w:styleId="TableGrid">
    <w:name w:val="Table Grid"/>
    <w:basedOn w:val="TableNormal"/>
    <w:rsid w:val="008D2286"/>
    <w:pPr>
      <w:overflowPunct w:val="0"/>
      <w:autoSpaceDE w:val="0"/>
      <w:autoSpaceDN w:val="0"/>
      <w:adjustRightInd w:val="0"/>
      <w:spacing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re.ecu.edu/psyc/wuenschk/StatHelp/d-r.htm" TargetMode="External"/><Relationship Id="rId5" Type="http://schemas.openxmlformats.org/officeDocument/2006/relationships/hyperlink" Target="http://core.ecu.edu/psyc/wuenschk/docs30/Power-N.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Correspondence Between  and Odds Ratios in a 2 x 2 Contingency Table</vt:lpstr>
    </vt:vector>
  </TitlesOfParts>
  <Company/>
  <LinksUpToDate>false</LinksUpToDate>
  <CharactersWithSpaces>3221</CharactersWithSpaces>
  <SharedDoc>false</SharedDoc>
  <HLinks>
    <vt:vector size="12" baseType="variant">
      <vt:variant>
        <vt:i4>2228344</vt:i4>
      </vt:variant>
      <vt:variant>
        <vt:i4>3</vt:i4>
      </vt:variant>
      <vt:variant>
        <vt:i4>0</vt:i4>
      </vt:variant>
      <vt:variant>
        <vt:i4>5</vt:i4>
      </vt:variant>
      <vt:variant>
        <vt:lpwstr>http://core.ecu.edu/psyc/wuenschk/StatHelp/d-r.htm</vt:lpwstr>
      </vt:variant>
      <vt:variant>
        <vt:lpwstr/>
      </vt:variant>
      <vt:variant>
        <vt:i4>1310795</vt:i4>
      </vt:variant>
      <vt:variant>
        <vt:i4>0</vt:i4>
      </vt:variant>
      <vt:variant>
        <vt:i4>0</vt:i4>
      </vt:variant>
      <vt:variant>
        <vt:i4>5</vt:i4>
      </vt:variant>
      <vt:variant>
        <vt:lpwstr>http://core.ecu.edu/psyc/wuenschk/docs30/Power-N.doc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Between  and Odds Ratios in a 2 x 2 Contingency Table</dc:title>
  <dc:subject/>
  <dc:creator>Karl Wuensch</dc:creator>
  <cp:keywords/>
  <dc:description/>
  <cp:lastModifiedBy>Karl L. Wuensch</cp:lastModifiedBy>
  <cp:revision>2</cp:revision>
  <dcterms:created xsi:type="dcterms:W3CDTF">2016-11-10T22:44:00Z</dcterms:created>
  <dcterms:modified xsi:type="dcterms:W3CDTF">2016-11-10T22:44:00Z</dcterms:modified>
</cp:coreProperties>
</file>