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6D" w:rsidRPr="00DC0E6D" w:rsidRDefault="00DC0E6D" w:rsidP="00DC0E6D">
      <w:pPr>
        <w:pStyle w:val="NormalWeb"/>
      </w:pPr>
      <w:r w:rsidRPr="00DC0E6D">
        <w:rPr>
          <w:rFonts w:ascii="Arial" w:hAnsi="Arial" w:cs="Arial"/>
          <w:color w:val="800080"/>
          <w:sz w:val="28"/>
          <w:szCs w:val="28"/>
        </w:rPr>
        <w:fldChar w:fldCharType="begin"/>
      </w:r>
      <w:r w:rsidRPr="00DC0E6D">
        <w:rPr>
          <w:rFonts w:ascii="Arial" w:hAnsi="Arial" w:cs="Arial"/>
          <w:color w:val="800080"/>
          <w:sz w:val="28"/>
          <w:szCs w:val="28"/>
        </w:rPr>
        <w:instrText xml:space="preserve"> HYPERLINK "http://www.ecu.edu/" </w:instrText>
      </w:r>
      <w:r w:rsidRPr="00DC0E6D">
        <w:rPr>
          <w:rFonts w:ascii="Arial" w:hAnsi="Arial" w:cs="Arial"/>
          <w:color w:val="800080"/>
          <w:sz w:val="28"/>
          <w:szCs w:val="28"/>
        </w:rPr>
        <w:fldChar w:fldCharType="separate"/>
      </w:r>
      <w:r w:rsidRPr="00DC0E6D">
        <w:rPr>
          <w:rStyle w:val="Hyperlink"/>
          <w:rFonts w:ascii="Arial" w:hAnsi="Arial" w:cs="Arial"/>
          <w:color w:val="800080"/>
          <w:sz w:val="28"/>
          <w:szCs w:val="28"/>
        </w:rPr>
        <w:t>East Carolina University</w:t>
      </w:r>
      <w:r w:rsidRPr="00DC0E6D">
        <w:rPr>
          <w:rFonts w:ascii="Arial" w:hAnsi="Arial" w:cs="Arial"/>
          <w:color w:val="800080"/>
          <w:sz w:val="28"/>
          <w:szCs w:val="28"/>
        </w:rPr>
        <w:fldChar w:fldCharType="end"/>
      </w:r>
      <w:r w:rsidRPr="00DC0E6D">
        <w:rPr>
          <w:rFonts w:ascii="Arial" w:hAnsi="Arial" w:cs="Arial"/>
          <w:sz w:val="28"/>
          <w:szCs w:val="28"/>
        </w:rPr>
        <w:br/>
      </w:r>
      <w:hyperlink r:id="rId6" w:history="1">
        <w:r w:rsidRPr="00DC0E6D">
          <w:rPr>
            <w:rStyle w:val="Hyperlink"/>
            <w:rFonts w:ascii="Arial" w:hAnsi="Arial" w:cs="Arial"/>
            <w:color w:val="000000"/>
          </w:rPr>
          <w:t>Department of Psychology</w:t>
        </w:r>
      </w:hyperlink>
    </w:p>
    <w:p w:rsidR="00DC0E6D" w:rsidRDefault="004678DF" w:rsidP="00DC0E6D">
      <w:pPr>
        <w:spacing w:after="0"/>
        <w:jc w:val="center"/>
        <w:rPr>
          <w:b/>
          <w:color w:val="008000"/>
        </w:rPr>
      </w:pPr>
      <w:r>
        <w:rPr>
          <w:b/>
          <w:color w:val="008000"/>
        </w:rPr>
        <w:pict>
          <v:rect id="_x0000_i1025" style="width:0;height:1.5pt" o:hralign="center" o:hrstd="t" o:hr="t" fillcolor="#aca899" stroked="f"/>
        </w:pict>
      </w:r>
    </w:p>
    <w:p w:rsidR="00E35BBD" w:rsidRPr="00DC0E6D" w:rsidRDefault="0086188A" w:rsidP="00DC0E6D">
      <w:pPr>
        <w:spacing w:before="120" w:after="0"/>
        <w:jc w:val="center"/>
        <w:rPr>
          <w:b/>
          <w:color w:val="008000"/>
          <w:sz w:val="40"/>
          <w:szCs w:val="40"/>
        </w:rPr>
      </w:pPr>
      <w:r>
        <w:rPr>
          <w:b/>
          <w:color w:val="008000"/>
          <w:sz w:val="40"/>
          <w:szCs w:val="40"/>
        </w:rPr>
        <w:t>Interaction Plots Prepared with Excel</w:t>
      </w:r>
    </w:p>
    <w:p w:rsidR="00DC0E6D" w:rsidRDefault="004678DF" w:rsidP="00DC0E6D">
      <w:pPr>
        <w:spacing w:after="0"/>
        <w:jc w:val="center"/>
        <w:rPr>
          <w:b/>
          <w:color w:val="008000"/>
        </w:rPr>
      </w:pPr>
      <w:r>
        <w:rPr>
          <w:b/>
          <w:color w:val="008000"/>
        </w:rPr>
        <w:pict>
          <v:rect id="_x0000_i1026" style="width:0;height:1.5pt" o:hralign="center" o:hrstd="t" o:hr="t" fillcolor="#aca899" stroked="f"/>
        </w:pict>
      </w:r>
    </w:p>
    <w:p w:rsidR="006550F4" w:rsidRDefault="002A0E21" w:rsidP="00F64B7D">
      <w:pPr>
        <w:spacing w:before="60" w:after="60"/>
      </w:pPr>
      <w:r>
        <w:tab/>
      </w:r>
      <w:r w:rsidR="006550F4">
        <w:t xml:space="preserve">You want to prepare an interaction plot that looks better than the crude one produced by PROC PLOT in SAS.  You don’t own any fancy plotting software, but you do have Microsoft </w:t>
      </w:r>
      <w:r w:rsidR="0086188A">
        <w:t>Excel</w:t>
      </w:r>
      <w:r w:rsidR="006550F4">
        <w:t xml:space="preserve">.  Here is what you can do.  First, here is </w:t>
      </w:r>
      <w:r w:rsidR="00AC16F6">
        <w:t>the</w:t>
      </w:r>
      <w:r w:rsidR="006550F4">
        <w:t xml:space="preserve"> table of means you wish to plot:</w:t>
      </w:r>
    </w:p>
    <w:p w:rsidR="006550F4" w:rsidRDefault="006550F4" w:rsidP="00F64B7D">
      <w:pPr>
        <w:spacing w:before="60" w:after="60"/>
      </w:pPr>
    </w:p>
    <w:p w:rsidR="006550F4" w:rsidRDefault="006550F4" w:rsidP="006550F4">
      <w:pPr>
        <w:spacing w:line="360" w:lineRule="auto"/>
        <w:rPr>
          <w:rFonts w:cs="Arial"/>
          <w:shd w:val="clear" w:color="auto" w:fill="FFFFFF"/>
        </w:rPr>
      </w:pPr>
      <w:r>
        <w:rPr>
          <w:rFonts w:cs="Arial"/>
          <w:shd w:val="clear" w:color="auto" w:fill="FFFFFF"/>
        </w:rPr>
        <w:t>Table 1: Means and Standard Deviations</w:t>
      </w:r>
    </w:p>
    <w:tbl>
      <w:tblPr>
        <w:tblStyle w:val="TableGrid"/>
        <w:tblW w:w="0" w:type="auto"/>
        <w:tblLook w:val="01E0" w:firstRow="1" w:lastRow="1" w:firstColumn="1" w:lastColumn="1" w:noHBand="0" w:noVBand="0"/>
      </w:tblPr>
      <w:tblGrid>
        <w:gridCol w:w="2214"/>
        <w:gridCol w:w="2214"/>
        <w:gridCol w:w="2214"/>
      </w:tblGrid>
      <w:tr w:rsidR="006550F4" w:rsidTr="006550F4">
        <w:tc>
          <w:tcPr>
            <w:tcW w:w="2214" w:type="dxa"/>
          </w:tcPr>
          <w:p w:rsidR="006550F4" w:rsidRDefault="006550F4" w:rsidP="00F8165D">
            <w:pPr>
              <w:jc w:val="center"/>
              <w:rPr>
                <w:rFonts w:cs="Arial"/>
                <w:shd w:val="clear" w:color="auto" w:fill="FFFFFF"/>
              </w:rPr>
            </w:pPr>
            <w:r>
              <w:rPr>
                <w:rFonts w:cs="Arial"/>
                <w:shd w:val="clear" w:color="auto" w:fill="FFFFFF"/>
              </w:rPr>
              <w:t xml:space="preserve">Species of </w:t>
            </w:r>
            <w:r w:rsidRPr="006550F4">
              <w:rPr>
                <w:rFonts w:cs="Arial"/>
                <w:i/>
                <w:shd w:val="clear" w:color="auto" w:fill="FFFFFF"/>
              </w:rPr>
              <w:t>Amanda</w:t>
            </w:r>
          </w:p>
        </w:tc>
        <w:tc>
          <w:tcPr>
            <w:tcW w:w="2214" w:type="dxa"/>
          </w:tcPr>
          <w:p w:rsidR="006550F4" w:rsidRDefault="00AC16F6" w:rsidP="00AC16F6">
            <w:pPr>
              <w:jc w:val="center"/>
              <w:rPr>
                <w:rFonts w:cs="Arial"/>
                <w:shd w:val="clear" w:color="auto" w:fill="FFFFFF"/>
              </w:rPr>
            </w:pPr>
            <w:r>
              <w:rPr>
                <w:rFonts w:cs="Arial"/>
                <w:shd w:val="clear" w:color="auto" w:fill="FFFFFF"/>
              </w:rPr>
              <w:t>Temperature</w:t>
            </w:r>
            <w:r w:rsidR="006550F4">
              <w:rPr>
                <w:rFonts w:cs="Arial"/>
                <w:shd w:val="clear" w:color="auto" w:fill="FFFFFF"/>
              </w:rPr>
              <w:t xml:space="preserve"> (Celsius)</w:t>
            </w:r>
          </w:p>
        </w:tc>
        <w:tc>
          <w:tcPr>
            <w:tcW w:w="2214" w:type="dxa"/>
          </w:tcPr>
          <w:p w:rsidR="006550F4" w:rsidRDefault="006550F4" w:rsidP="00F8165D">
            <w:pPr>
              <w:jc w:val="center"/>
              <w:rPr>
                <w:rFonts w:cs="Arial"/>
                <w:shd w:val="clear" w:color="auto" w:fill="FFFFFF"/>
              </w:rPr>
            </w:pPr>
            <w:r>
              <w:rPr>
                <w:rFonts w:cs="Arial"/>
                <w:shd w:val="clear" w:color="auto" w:fill="FFFFFF"/>
              </w:rPr>
              <w:t>Mean</w:t>
            </w:r>
            <w:r w:rsidR="00522953">
              <w:rPr>
                <w:rFonts w:cs="Arial"/>
                <w:shd w:val="clear" w:color="auto" w:fill="FFFFFF"/>
              </w:rPr>
              <w:t xml:space="preserve"> Activity</w:t>
            </w:r>
          </w:p>
        </w:tc>
      </w:tr>
      <w:tr w:rsidR="006550F4" w:rsidTr="006550F4">
        <w:tc>
          <w:tcPr>
            <w:tcW w:w="2214" w:type="dxa"/>
          </w:tcPr>
          <w:p w:rsidR="006550F4" w:rsidRPr="00BD2BB3" w:rsidRDefault="006550F4" w:rsidP="00F8165D">
            <w:pPr>
              <w:jc w:val="center"/>
              <w:rPr>
                <w:rFonts w:cs="Arial"/>
                <w:i/>
                <w:shd w:val="clear" w:color="auto" w:fill="FFFFFF"/>
              </w:rPr>
            </w:pPr>
            <w:proofErr w:type="spellStart"/>
            <w:r>
              <w:rPr>
                <w:rFonts w:cs="Arial"/>
                <w:i/>
                <w:shd w:val="clear" w:color="auto" w:fill="FFFFFF"/>
              </w:rPr>
              <w:t>c</w:t>
            </w:r>
            <w:r w:rsidRPr="00BD2BB3">
              <w:rPr>
                <w:rFonts w:cs="Arial"/>
                <w:i/>
                <w:shd w:val="clear" w:color="auto" w:fill="FFFFFF"/>
              </w:rPr>
              <w:t>arolinis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5</w:t>
            </w:r>
          </w:p>
        </w:tc>
        <w:tc>
          <w:tcPr>
            <w:tcW w:w="2214" w:type="dxa"/>
          </w:tcPr>
          <w:p w:rsidR="006550F4" w:rsidRDefault="006550F4" w:rsidP="00F8165D">
            <w:pPr>
              <w:jc w:val="center"/>
              <w:rPr>
                <w:rFonts w:cs="Arial"/>
                <w:shd w:val="clear" w:color="auto" w:fill="FFFFFF"/>
              </w:rPr>
            </w:pPr>
            <w:r>
              <w:rPr>
                <w:rFonts w:cs="Arial"/>
                <w:shd w:val="clear" w:color="auto" w:fill="FFFFFF"/>
              </w:rPr>
              <w:t>31.80</w:t>
            </w:r>
          </w:p>
        </w:tc>
      </w:tr>
      <w:tr w:rsidR="006550F4" w:rsidTr="006550F4">
        <w:tc>
          <w:tcPr>
            <w:tcW w:w="2214" w:type="dxa"/>
          </w:tcPr>
          <w:p w:rsidR="006550F4" w:rsidRPr="00BD2BB3" w:rsidRDefault="006550F4" w:rsidP="00F8165D">
            <w:pPr>
              <w:jc w:val="center"/>
              <w:rPr>
                <w:rFonts w:cs="Arial"/>
                <w:i/>
                <w:shd w:val="clear" w:color="auto" w:fill="FFFFFF"/>
              </w:rPr>
            </w:pPr>
            <w:proofErr w:type="spellStart"/>
            <w:r>
              <w:rPr>
                <w:rFonts w:cs="Arial"/>
                <w:i/>
                <w:shd w:val="clear" w:color="auto" w:fill="FFFFFF"/>
              </w:rPr>
              <w:t>c</w:t>
            </w:r>
            <w:r w:rsidRPr="00BD2BB3">
              <w:rPr>
                <w:rFonts w:cs="Arial"/>
                <w:i/>
                <w:shd w:val="clear" w:color="auto" w:fill="FFFFFF"/>
              </w:rPr>
              <w:t>arolinis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10</w:t>
            </w:r>
          </w:p>
        </w:tc>
        <w:tc>
          <w:tcPr>
            <w:tcW w:w="2214" w:type="dxa"/>
          </w:tcPr>
          <w:p w:rsidR="006550F4" w:rsidRDefault="006550F4" w:rsidP="00F8165D">
            <w:pPr>
              <w:jc w:val="center"/>
              <w:rPr>
                <w:rFonts w:cs="Arial"/>
                <w:shd w:val="clear" w:color="auto" w:fill="FFFFFF"/>
              </w:rPr>
            </w:pPr>
            <w:r>
              <w:rPr>
                <w:rFonts w:cs="Arial"/>
                <w:shd w:val="clear" w:color="auto" w:fill="FFFFFF"/>
              </w:rPr>
              <w:t>54.20</w:t>
            </w:r>
          </w:p>
        </w:tc>
      </w:tr>
      <w:tr w:rsidR="006550F4" w:rsidTr="006550F4">
        <w:tc>
          <w:tcPr>
            <w:tcW w:w="2214" w:type="dxa"/>
          </w:tcPr>
          <w:p w:rsidR="006550F4" w:rsidRPr="00BD2BB3" w:rsidRDefault="006550F4" w:rsidP="00F8165D">
            <w:pPr>
              <w:jc w:val="center"/>
              <w:rPr>
                <w:rFonts w:cs="Arial"/>
                <w:i/>
                <w:shd w:val="clear" w:color="auto" w:fill="FFFFFF"/>
              </w:rPr>
            </w:pPr>
            <w:proofErr w:type="spellStart"/>
            <w:r>
              <w:rPr>
                <w:rFonts w:cs="Arial"/>
                <w:i/>
                <w:shd w:val="clear" w:color="auto" w:fill="FFFFFF"/>
              </w:rPr>
              <w:t>c</w:t>
            </w:r>
            <w:r w:rsidRPr="00BD2BB3">
              <w:rPr>
                <w:rFonts w:cs="Arial"/>
                <w:i/>
                <w:shd w:val="clear" w:color="auto" w:fill="FFFFFF"/>
              </w:rPr>
              <w:t>arolinis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15</w:t>
            </w:r>
          </w:p>
        </w:tc>
        <w:tc>
          <w:tcPr>
            <w:tcW w:w="2214" w:type="dxa"/>
          </w:tcPr>
          <w:p w:rsidR="006550F4" w:rsidRDefault="006550F4" w:rsidP="00F8165D">
            <w:pPr>
              <w:jc w:val="center"/>
              <w:rPr>
                <w:rFonts w:cs="Arial"/>
                <w:shd w:val="clear" w:color="auto" w:fill="FFFFFF"/>
              </w:rPr>
            </w:pPr>
            <w:r>
              <w:rPr>
                <w:rFonts w:cs="Arial"/>
                <w:shd w:val="clear" w:color="auto" w:fill="FFFFFF"/>
              </w:rPr>
              <w:t>72.60</w:t>
            </w:r>
          </w:p>
        </w:tc>
      </w:tr>
      <w:tr w:rsidR="006550F4" w:rsidTr="006550F4">
        <w:tc>
          <w:tcPr>
            <w:tcW w:w="2214" w:type="dxa"/>
          </w:tcPr>
          <w:p w:rsidR="006550F4" w:rsidRPr="00BD2BB3" w:rsidRDefault="006550F4" w:rsidP="00F8165D">
            <w:pPr>
              <w:jc w:val="center"/>
              <w:rPr>
                <w:rFonts w:cs="Arial"/>
                <w:i/>
                <w:shd w:val="clear" w:color="auto" w:fill="FFFFFF"/>
              </w:rPr>
            </w:pPr>
            <w:proofErr w:type="spellStart"/>
            <w:r>
              <w:rPr>
                <w:rFonts w:cs="Arial"/>
                <w:i/>
                <w:shd w:val="clear" w:color="auto" w:fill="FFFFFF"/>
              </w:rPr>
              <w:t>c</w:t>
            </w:r>
            <w:r w:rsidRPr="00BD2BB3">
              <w:rPr>
                <w:rFonts w:cs="Arial"/>
                <w:i/>
                <w:shd w:val="clear" w:color="auto" w:fill="FFFFFF"/>
              </w:rPr>
              <w:t>arolinis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20</w:t>
            </w:r>
          </w:p>
        </w:tc>
        <w:tc>
          <w:tcPr>
            <w:tcW w:w="2214" w:type="dxa"/>
          </w:tcPr>
          <w:p w:rsidR="006550F4" w:rsidRDefault="006550F4" w:rsidP="00F8165D">
            <w:pPr>
              <w:jc w:val="center"/>
              <w:rPr>
                <w:rFonts w:cs="Arial"/>
                <w:shd w:val="clear" w:color="auto" w:fill="FFFFFF"/>
              </w:rPr>
            </w:pPr>
            <w:r>
              <w:rPr>
                <w:rFonts w:cs="Arial"/>
                <w:shd w:val="clear" w:color="auto" w:fill="FFFFFF"/>
              </w:rPr>
              <w:t>72.40</w:t>
            </w:r>
          </w:p>
        </w:tc>
      </w:tr>
      <w:tr w:rsidR="006550F4" w:rsidTr="006550F4">
        <w:tc>
          <w:tcPr>
            <w:tcW w:w="2214" w:type="dxa"/>
          </w:tcPr>
          <w:p w:rsidR="006550F4" w:rsidRPr="00BD2BB3" w:rsidRDefault="006550F4" w:rsidP="00F8165D">
            <w:pPr>
              <w:jc w:val="center"/>
              <w:rPr>
                <w:rFonts w:cs="Arial"/>
                <w:i/>
                <w:shd w:val="clear" w:color="auto" w:fill="FFFFFF"/>
              </w:rPr>
            </w:pPr>
            <w:proofErr w:type="spellStart"/>
            <w:r>
              <w:rPr>
                <w:rFonts w:cs="Arial"/>
                <w:i/>
                <w:shd w:val="clear" w:color="auto" w:fill="FFFFFF"/>
              </w:rPr>
              <w:t>c</w:t>
            </w:r>
            <w:r w:rsidRPr="00BD2BB3">
              <w:rPr>
                <w:rFonts w:cs="Arial"/>
                <w:i/>
                <w:shd w:val="clear" w:color="auto" w:fill="FFFFFF"/>
              </w:rPr>
              <w:t>arolinis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25</w:t>
            </w:r>
          </w:p>
        </w:tc>
        <w:tc>
          <w:tcPr>
            <w:tcW w:w="2214" w:type="dxa"/>
          </w:tcPr>
          <w:p w:rsidR="006550F4" w:rsidRDefault="006550F4" w:rsidP="00F8165D">
            <w:pPr>
              <w:jc w:val="center"/>
              <w:rPr>
                <w:rFonts w:cs="Arial"/>
                <w:shd w:val="clear" w:color="auto" w:fill="FFFFFF"/>
              </w:rPr>
            </w:pPr>
            <w:r>
              <w:rPr>
                <w:rFonts w:cs="Arial"/>
                <w:shd w:val="clear" w:color="auto" w:fill="FFFFFF"/>
              </w:rPr>
              <w:t>40.20</w:t>
            </w:r>
          </w:p>
        </w:tc>
      </w:tr>
      <w:tr w:rsidR="006550F4" w:rsidTr="006550F4">
        <w:tc>
          <w:tcPr>
            <w:tcW w:w="2214" w:type="dxa"/>
          </w:tcPr>
          <w:p w:rsidR="006550F4" w:rsidRDefault="006550F4" w:rsidP="00F8165D">
            <w:pPr>
              <w:jc w:val="center"/>
              <w:rPr>
                <w:rFonts w:cs="Arial"/>
                <w:shd w:val="clear" w:color="auto" w:fill="FFFFFF"/>
              </w:rPr>
            </w:pPr>
            <w:proofErr w:type="spellStart"/>
            <w:r>
              <w:rPr>
                <w:i/>
              </w:rPr>
              <w:t>p</w:t>
            </w:r>
            <w:r w:rsidRPr="00DB4555">
              <w:rPr>
                <w:i/>
              </w:rPr>
              <w:t>ennsylvanicus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5</w:t>
            </w:r>
          </w:p>
        </w:tc>
        <w:tc>
          <w:tcPr>
            <w:tcW w:w="2214" w:type="dxa"/>
          </w:tcPr>
          <w:p w:rsidR="006550F4" w:rsidRDefault="006550F4" w:rsidP="00F8165D">
            <w:pPr>
              <w:jc w:val="center"/>
              <w:rPr>
                <w:rFonts w:cs="Arial"/>
                <w:shd w:val="clear" w:color="auto" w:fill="FFFFFF"/>
              </w:rPr>
            </w:pPr>
            <w:r>
              <w:rPr>
                <w:rFonts w:cs="Arial"/>
                <w:shd w:val="clear" w:color="auto" w:fill="FFFFFF"/>
              </w:rPr>
              <w:t>76.80</w:t>
            </w:r>
          </w:p>
        </w:tc>
      </w:tr>
      <w:tr w:rsidR="006550F4" w:rsidTr="006550F4">
        <w:tc>
          <w:tcPr>
            <w:tcW w:w="2214" w:type="dxa"/>
          </w:tcPr>
          <w:p w:rsidR="006550F4" w:rsidRDefault="006550F4" w:rsidP="00F8165D">
            <w:pPr>
              <w:jc w:val="center"/>
              <w:rPr>
                <w:rFonts w:cs="Arial"/>
                <w:shd w:val="clear" w:color="auto" w:fill="FFFFFF"/>
              </w:rPr>
            </w:pPr>
            <w:proofErr w:type="spellStart"/>
            <w:r>
              <w:rPr>
                <w:i/>
              </w:rPr>
              <w:t>p</w:t>
            </w:r>
            <w:r w:rsidRPr="00DB4555">
              <w:rPr>
                <w:i/>
              </w:rPr>
              <w:t>ennsylvanicus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10</w:t>
            </w:r>
          </w:p>
        </w:tc>
        <w:tc>
          <w:tcPr>
            <w:tcW w:w="2214" w:type="dxa"/>
          </w:tcPr>
          <w:p w:rsidR="006550F4" w:rsidRDefault="006550F4" w:rsidP="00F8165D">
            <w:pPr>
              <w:jc w:val="center"/>
              <w:rPr>
                <w:rFonts w:cs="Arial"/>
                <w:shd w:val="clear" w:color="auto" w:fill="FFFFFF"/>
              </w:rPr>
            </w:pPr>
            <w:r>
              <w:rPr>
                <w:rFonts w:cs="Arial"/>
                <w:shd w:val="clear" w:color="auto" w:fill="FFFFFF"/>
              </w:rPr>
              <w:t>59.20</w:t>
            </w:r>
          </w:p>
        </w:tc>
      </w:tr>
      <w:tr w:rsidR="006550F4" w:rsidTr="006550F4">
        <w:tc>
          <w:tcPr>
            <w:tcW w:w="2214" w:type="dxa"/>
          </w:tcPr>
          <w:p w:rsidR="006550F4" w:rsidRDefault="006550F4" w:rsidP="00F8165D">
            <w:pPr>
              <w:jc w:val="center"/>
              <w:rPr>
                <w:rFonts w:cs="Arial"/>
                <w:shd w:val="clear" w:color="auto" w:fill="FFFFFF"/>
              </w:rPr>
            </w:pPr>
            <w:proofErr w:type="spellStart"/>
            <w:r>
              <w:rPr>
                <w:i/>
              </w:rPr>
              <w:t>p</w:t>
            </w:r>
            <w:r w:rsidRPr="00DB4555">
              <w:rPr>
                <w:i/>
              </w:rPr>
              <w:t>ennsylvanicus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15</w:t>
            </w:r>
          </w:p>
        </w:tc>
        <w:tc>
          <w:tcPr>
            <w:tcW w:w="2214" w:type="dxa"/>
          </w:tcPr>
          <w:p w:rsidR="006550F4" w:rsidRDefault="006550F4" w:rsidP="00F8165D">
            <w:pPr>
              <w:jc w:val="center"/>
              <w:rPr>
                <w:rFonts w:cs="Arial"/>
                <w:shd w:val="clear" w:color="auto" w:fill="FFFFFF"/>
              </w:rPr>
            </w:pPr>
            <w:r>
              <w:rPr>
                <w:rFonts w:cs="Arial"/>
                <w:shd w:val="clear" w:color="auto" w:fill="FFFFFF"/>
              </w:rPr>
              <w:t>67.60</w:t>
            </w:r>
          </w:p>
        </w:tc>
      </w:tr>
      <w:tr w:rsidR="006550F4" w:rsidTr="006550F4">
        <w:tc>
          <w:tcPr>
            <w:tcW w:w="2214" w:type="dxa"/>
          </w:tcPr>
          <w:p w:rsidR="006550F4" w:rsidRDefault="006550F4" w:rsidP="00F8165D">
            <w:pPr>
              <w:jc w:val="center"/>
              <w:rPr>
                <w:rFonts w:cs="Arial"/>
                <w:shd w:val="clear" w:color="auto" w:fill="FFFFFF"/>
              </w:rPr>
            </w:pPr>
            <w:proofErr w:type="spellStart"/>
            <w:r>
              <w:rPr>
                <w:i/>
              </w:rPr>
              <w:t>p</w:t>
            </w:r>
            <w:r w:rsidRPr="00DB4555">
              <w:rPr>
                <w:i/>
              </w:rPr>
              <w:t>ennsylvanicus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20</w:t>
            </w:r>
          </w:p>
        </w:tc>
        <w:tc>
          <w:tcPr>
            <w:tcW w:w="2214" w:type="dxa"/>
          </w:tcPr>
          <w:p w:rsidR="006550F4" w:rsidRDefault="006550F4" w:rsidP="00F8165D">
            <w:pPr>
              <w:jc w:val="center"/>
              <w:rPr>
                <w:rFonts w:cs="Arial"/>
                <w:shd w:val="clear" w:color="auto" w:fill="FFFFFF"/>
              </w:rPr>
            </w:pPr>
            <w:r>
              <w:rPr>
                <w:rFonts w:cs="Arial"/>
                <w:shd w:val="clear" w:color="auto" w:fill="FFFFFF"/>
              </w:rPr>
              <w:t>92.80</w:t>
            </w:r>
          </w:p>
        </w:tc>
      </w:tr>
      <w:tr w:rsidR="006550F4" w:rsidTr="006550F4">
        <w:tc>
          <w:tcPr>
            <w:tcW w:w="2214" w:type="dxa"/>
          </w:tcPr>
          <w:p w:rsidR="006550F4" w:rsidRDefault="006550F4" w:rsidP="00F8165D">
            <w:pPr>
              <w:jc w:val="center"/>
              <w:rPr>
                <w:rFonts w:cs="Arial"/>
                <w:shd w:val="clear" w:color="auto" w:fill="FFFFFF"/>
              </w:rPr>
            </w:pPr>
            <w:proofErr w:type="spellStart"/>
            <w:r>
              <w:rPr>
                <w:i/>
              </w:rPr>
              <w:t>p</w:t>
            </w:r>
            <w:r w:rsidRPr="00DB4555">
              <w:rPr>
                <w:i/>
              </w:rPr>
              <w:t>ennsylvanicus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25</w:t>
            </w:r>
          </w:p>
        </w:tc>
        <w:tc>
          <w:tcPr>
            <w:tcW w:w="2214" w:type="dxa"/>
          </w:tcPr>
          <w:p w:rsidR="006550F4" w:rsidRDefault="006550F4" w:rsidP="00F8165D">
            <w:pPr>
              <w:jc w:val="center"/>
              <w:rPr>
                <w:rFonts w:cs="Arial"/>
                <w:shd w:val="clear" w:color="auto" w:fill="FFFFFF"/>
              </w:rPr>
            </w:pPr>
            <w:r>
              <w:rPr>
                <w:rFonts w:cs="Arial"/>
                <w:shd w:val="clear" w:color="auto" w:fill="FFFFFF"/>
              </w:rPr>
              <w:t>50.00</w:t>
            </w:r>
          </w:p>
        </w:tc>
      </w:tr>
      <w:tr w:rsidR="006550F4" w:rsidTr="006550F4">
        <w:tc>
          <w:tcPr>
            <w:tcW w:w="2214" w:type="dxa"/>
          </w:tcPr>
          <w:p w:rsidR="006550F4" w:rsidRDefault="006550F4" w:rsidP="00F8165D">
            <w:pPr>
              <w:jc w:val="center"/>
              <w:rPr>
                <w:rFonts w:cs="Arial"/>
                <w:shd w:val="clear" w:color="auto" w:fill="FFFFFF"/>
              </w:rPr>
            </w:pPr>
            <w:proofErr w:type="spellStart"/>
            <w:r>
              <w:rPr>
                <w:i/>
              </w:rPr>
              <w:t>t</w:t>
            </w:r>
            <w:r w:rsidRPr="00DB4555">
              <w:rPr>
                <w:i/>
              </w:rPr>
              <w:t>rop</w:t>
            </w:r>
            <w:r>
              <w:rPr>
                <w:i/>
              </w:rPr>
              <w:t>i</w:t>
            </w:r>
            <w:r w:rsidRPr="00DB4555">
              <w:rPr>
                <w:i/>
              </w:rPr>
              <w:t>calis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5</w:t>
            </w:r>
          </w:p>
        </w:tc>
        <w:tc>
          <w:tcPr>
            <w:tcW w:w="2214" w:type="dxa"/>
          </w:tcPr>
          <w:p w:rsidR="006550F4" w:rsidRDefault="006550F4" w:rsidP="00F8165D">
            <w:pPr>
              <w:jc w:val="center"/>
              <w:rPr>
                <w:rFonts w:cs="Arial"/>
                <w:shd w:val="clear" w:color="auto" w:fill="FFFFFF"/>
              </w:rPr>
            </w:pPr>
            <w:r>
              <w:rPr>
                <w:rFonts w:cs="Arial"/>
                <w:shd w:val="clear" w:color="auto" w:fill="FFFFFF"/>
              </w:rPr>
              <w:t>63.00</w:t>
            </w:r>
          </w:p>
        </w:tc>
      </w:tr>
      <w:tr w:rsidR="006550F4" w:rsidTr="006550F4">
        <w:tc>
          <w:tcPr>
            <w:tcW w:w="2214" w:type="dxa"/>
          </w:tcPr>
          <w:p w:rsidR="006550F4" w:rsidRDefault="006550F4" w:rsidP="00F8165D">
            <w:pPr>
              <w:jc w:val="center"/>
              <w:rPr>
                <w:rFonts w:cs="Arial"/>
                <w:shd w:val="clear" w:color="auto" w:fill="FFFFFF"/>
              </w:rPr>
            </w:pPr>
            <w:proofErr w:type="spellStart"/>
            <w:r>
              <w:rPr>
                <w:i/>
              </w:rPr>
              <w:t>t</w:t>
            </w:r>
            <w:r w:rsidRPr="00DB4555">
              <w:rPr>
                <w:i/>
              </w:rPr>
              <w:t>rop</w:t>
            </w:r>
            <w:r>
              <w:rPr>
                <w:i/>
              </w:rPr>
              <w:t>i</w:t>
            </w:r>
            <w:r w:rsidRPr="00DB4555">
              <w:rPr>
                <w:i/>
              </w:rPr>
              <w:t>calis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10</w:t>
            </w:r>
          </w:p>
        </w:tc>
        <w:tc>
          <w:tcPr>
            <w:tcW w:w="2214" w:type="dxa"/>
          </w:tcPr>
          <w:p w:rsidR="006550F4" w:rsidRDefault="006550F4" w:rsidP="00F8165D">
            <w:pPr>
              <w:jc w:val="center"/>
              <w:rPr>
                <w:rFonts w:cs="Arial"/>
                <w:shd w:val="clear" w:color="auto" w:fill="FFFFFF"/>
              </w:rPr>
            </w:pPr>
            <w:r>
              <w:rPr>
                <w:rFonts w:cs="Arial"/>
                <w:shd w:val="clear" w:color="auto" w:fill="FFFFFF"/>
              </w:rPr>
              <w:t>71.20</w:t>
            </w:r>
          </w:p>
        </w:tc>
      </w:tr>
      <w:tr w:rsidR="006550F4" w:rsidTr="006550F4">
        <w:tc>
          <w:tcPr>
            <w:tcW w:w="2214" w:type="dxa"/>
          </w:tcPr>
          <w:p w:rsidR="006550F4" w:rsidRDefault="006550F4" w:rsidP="00F8165D">
            <w:pPr>
              <w:jc w:val="center"/>
              <w:rPr>
                <w:rFonts w:cs="Arial"/>
                <w:shd w:val="clear" w:color="auto" w:fill="FFFFFF"/>
              </w:rPr>
            </w:pPr>
            <w:proofErr w:type="spellStart"/>
            <w:r>
              <w:rPr>
                <w:i/>
              </w:rPr>
              <w:t>t</w:t>
            </w:r>
            <w:r w:rsidRPr="00DB4555">
              <w:rPr>
                <w:i/>
              </w:rPr>
              <w:t>rop</w:t>
            </w:r>
            <w:r>
              <w:rPr>
                <w:i/>
              </w:rPr>
              <w:t>i</w:t>
            </w:r>
            <w:r w:rsidRPr="00DB4555">
              <w:rPr>
                <w:i/>
              </w:rPr>
              <w:t>calis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15</w:t>
            </w:r>
          </w:p>
        </w:tc>
        <w:tc>
          <w:tcPr>
            <w:tcW w:w="2214" w:type="dxa"/>
          </w:tcPr>
          <w:p w:rsidR="006550F4" w:rsidRDefault="006550F4" w:rsidP="00F8165D">
            <w:pPr>
              <w:jc w:val="center"/>
              <w:rPr>
                <w:rFonts w:cs="Arial"/>
                <w:shd w:val="clear" w:color="auto" w:fill="FFFFFF"/>
              </w:rPr>
            </w:pPr>
            <w:r>
              <w:rPr>
                <w:rFonts w:cs="Arial"/>
                <w:shd w:val="clear" w:color="auto" w:fill="FFFFFF"/>
              </w:rPr>
              <w:t>83.20</w:t>
            </w:r>
          </w:p>
        </w:tc>
      </w:tr>
      <w:tr w:rsidR="006550F4" w:rsidTr="006550F4">
        <w:tc>
          <w:tcPr>
            <w:tcW w:w="2214" w:type="dxa"/>
          </w:tcPr>
          <w:p w:rsidR="006550F4" w:rsidRDefault="006550F4" w:rsidP="00F8165D">
            <w:pPr>
              <w:jc w:val="center"/>
              <w:rPr>
                <w:rFonts w:cs="Arial"/>
                <w:shd w:val="clear" w:color="auto" w:fill="FFFFFF"/>
              </w:rPr>
            </w:pPr>
            <w:proofErr w:type="spellStart"/>
            <w:r>
              <w:rPr>
                <w:i/>
              </w:rPr>
              <w:t>t</w:t>
            </w:r>
            <w:r w:rsidRPr="00DB4555">
              <w:rPr>
                <w:i/>
              </w:rPr>
              <w:t>rop</w:t>
            </w:r>
            <w:r>
              <w:rPr>
                <w:i/>
              </w:rPr>
              <w:t>i</w:t>
            </w:r>
            <w:r w:rsidRPr="00DB4555">
              <w:rPr>
                <w:i/>
              </w:rPr>
              <w:t>calis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20</w:t>
            </w:r>
          </w:p>
        </w:tc>
        <w:tc>
          <w:tcPr>
            <w:tcW w:w="2214" w:type="dxa"/>
          </w:tcPr>
          <w:p w:rsidR="006550F4" w:rsidRDefault="006550F4" w:rsidP="00F8165D">
            <w:pPr>
              <w:jc w:val="center"/>
              <w:rPr>
                <w:rFonts w:cs="Arial"/>
                <w:shd w:val="clear" w:color="auto" w:fill="FFFFFF"/>
              </w:rPr>
            </w:pPr>
            <w:r>
              <w:rPr>
                <w:rFonts w:cs="Arial"/>
                <w:shd w:val="clear" w:color="auto" w:fill="FFFFFF"/>
              </w:rPr>
              <w:t>82.60</w:t>
            </w:r>
          </w:p>
        </w:tc>
      </w:tr>
      <w:tr w:rsidR="006550F4" w:rsidTr="006550F4">
        <w:tc>
          <w:tcPr>
            <w:tcW w:w="2214" w:type="dxa"/>
          </w:tcPr>
          <w:p w:rsidR="006550F4" w:rsidRDefault="006550F4" w:rsidP="00F8165D">
            <w:pPr>
              <w:jc w:val="center"/>
              <w:rPr>
                <w:i/>
              </w:rPr>
            </w:pPr>
            <w:proofErr w:type="spellStart"/>
            <w:r>
              <w:rPr>
                <w:i/>
              </w:rPr>
              <w:t>t</w:t>
            </w:r>
            <w:r w:rsidRPr="00DB4555">
              <w:rPr>
                <w:i/>
              </w:rPr>
              <w:t>rop</w:t>
            </w:r>
            <w:r>
              <w:rPr>
                <w:i/>
              </w:rPr>
              <w:t>i</w:t>
            </w:r>
            <w:r w:rsidRPr="00DB4555">
              <w:rPr>
                <w:i/>
              </w:rPr>
              <w:t>calis</w:t>
            </w:r>
            <w:proofErr w:type="spellEnd"/>
          </w:p>
        </w:tc>
        <w:tc>
          <w:tcPr>
            <w:tcW w:w="2214" w:type="dxa"/>
          </w:tcPr>
          <w:p w:rsidR="006550F4" w:rsidRDefault="006550F4" w:rsidP="00F8165D">
            <w:pPr>
              <w:jc w:val="center"/>
              <w:rPr>
                <w:rFonts w:cs="Arial"/>
                <w:shd w:val="clear" w:color="auto" w:fill="FFFFFF"/>
              </w:rPr>
            </w:pPr>
            <w:r>
              <w:rPr>
                <w:rFonts w:cs="Arial"/>
                <w:shd w:val="clear" w:color="auto" w:fill="FFFFFF"/>
              </w:rPr>
              <w:t>25</w:t>
            </w:r>
          </w:p>
        </w:tc>
        <w:tc>
          <w:tcPr>
            <w:tcW w:w="2214" w:type="dxa"/>
          </w:tcPr>
          <w:p w:rsidR="006550F4" w:rsidRDefault="006550F4" w:rsidP="00F8165D">
            <w:pPr>
              <w:jc w:val="center"/>
              <w:rPr>
                <w:rFonts w:cs="Arial"/>
                <w:shd w:val="clear" w:color="auto" w:fill="FFFFFF"/>
              </w:rPr>
            </w:pPr>
            <w:r>
              <w:rPr>
                <w:rFonts w:cs="Arial"/>
                <w:shd w:val="clear" w:color="auto" w:fill="FFFFFF"/>
              </w:rPr>
              <w:t>90.80</w:t>
            </w:r>
          </w:p>
        </w:tc>
      </w:tr>
    </w:tbl>
    <w:p w:rsidR="000F58CA" w:rsidRDefault="000F58CA" w:rsidP="00F64B7D">
      <w:pPr>
        <w:spacing w:before="60" w:after="60"/>
      </w:pPr>
    </w:p>
    <w:p w:rsidR="000F58CA" w:rsidRDefault="000314FF" w:rsidP="000314FF">
      <w:pPr>
        <w:spacing w:before="60" w:after="60"/>
        <w:ind w:firstLine="720"/>
      </w:pPr>
      <w:r>
        <w:br w:type="page"/>
      </w:r>
      <w:r>
        <w:lastRenderedPageBreak/>
        <w:t>Enter the means into Excel, like this:</w:t>
      </w:r>
    </w:p>
    <w:p w:rsidR="000314FF" w:rsidRDefault="00846D37" w:rsidP="00F64B7D">
      <w:pPr>
        <w:spacing w:before="60" w:after="60"/>
        <w:rPr>
          <w:noProof/>
        </w:rPr>
      </w:pPr>
      <w:r>
        <w:rPr>
          <w:noProof/>
        </w:rPr>
        <w:drawing>
          <wp:inline distT="0" distB="0" distL="0" distR="0">
            <wp:extent cx="4815205" cy="300736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5205" cy="3007360"/>
                    </a:xfrm>
                    <a:prstGeom prst="rect">
                      <a:avLst/>
                    </a:prstGeom>
                    <a:noFill/>
                    <a:ln>
                      <a:noFill/>
                    </a:ln>
                  </pic:spPr>
                </pic:pic>
              </a:graphicData>
            </a:graphic>
          </wp:inline>
        </w:drawing>
      </w:r>
    </w:p>
    <w:p w:rsidR="00AC16F6" w:rsidRDefault="00AC16F6" w:rsidP="00F64B7D">
      <w:pPr>
        <w:spacing w:before="60" w:after="60"/>
        <w:rPr>
          <w:noProof/>
        </w:rPr>
      </w:pPr>
    </w:p>
    <w:p w:rsidR="007245C5" w:rsidRDefault="007245C5" w:rsidP="00F64B7D">
      <w:pPr>
        <w:spacing w:before="60" w:after="60"/>
        <w:rPr>
          <w:noProof/>
        </w:rPr>
      </w:pPr>
      <w:r>
        <w:rPr>
          <w:noProof/>
        </w:rPr>
        <w:tab/>
        <w:t>Insert, Charts, Line</w:t>
      </w:r>
    </w:p>
    <w:p w:rsidR="000314FF" w:rsidRDefault="000314FF" w:rsidP="00F64B7D">
      <w:pPr>
        <w:spacing w:before="60" w:after="60"/>
        <w:rPr>
          <w:noProof/>
        </w:rPr>
      </w:pPr>
    </w:p>
    <w:p w:rsidR="000314FF" w:rsidRDefault="00846D37" w:rsidP="00F64B7D">
      <w:pPr>
        <w:spacing w:before="60" w:after="60"/>
      </w:pPr>
      <w:r>
        <w:rPr>
          <w:noProof/>
        </w:rPr>
        <w:drawing>
          <wp:inline distT="0" distB="0" distL="0" distR="0">
            <wp:extent cx="4339590" cy="3657600"/>
            <wp:effectExtent l="0" t="0" r="0" b="0"/>
            <wp:docPr id="23" name="Picture 23" descr="C:\Users\Vati\Desktop\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ati\Desktop\aaaaaaa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9590" cy="3657600"/>
                    </a:xfrm>
                    <a:prstGeom prst="rect">
                      <a:avLst/>
                    </a:prstGeom>
                    <a:noFill/>
                    <a:ln>
                      <a:noFill/>
                    </a:ln>
                  </pic:spPr>
                </pic:pic>
              </a:graphicData>
            </a:graphic>
          </wp:inline>
        </w:drawing>
      </w:r>
    </w:p>
    <w:p w:rsidR="000F58CA" w:rsidRDefault="000F58CA" w:rsidP="00F64B7D">
      <w:pPr>
        <w:spacing w:before="60" w:after="60"/>
      </w:pPr>
    </w:p>
    <w:p w:rsidR="000F58CA" w:rsidRDefault="007245C5" w:rsidP="00F64B7D">
      <w:pPr>
        <w:spacing w:before="60" w:after="60"/>
      </w:pPr>
      <w:r>
        <w:br w:type="page"/>
      </w:r>
      <w:r>
        <w:lastRenderedPageBreak/>
        <w:tab/>
        <w:t>Select “Line with markers.”</w:t>
      </w:r>
    </w:p>
    <w:p w:rsidR="007245C5" w:rsidRDefault="00846D37" w:rsidP="00F64B7D">
      <w:pPr>
        <w:spacing w:before="60" w:after="60"/>
      </w:pPr>
      <w:r>
        <w:rPr>
          <w:noProof/>
        </w:rPr>
        <w:drawing>
          <wp:inline distT="0" distB="0" distL="0" distR="0">
            <wp:extent cx="2045335" cy="2753995"/>
            <wp:effectExtent l="0" t="0" r="0" b="0"/>
            <wp:docPr id="25" name="Picture 25" descr="C:\Users\Vati\Desktop\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ati\Desktop\aaaaaa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753995"/>
                    </a:xfrm>
                    <a:prstGeom prst="rect">
                      <a:avLst/>
                    </a:prstGeom>
                    <a:noFill/>
                    <a:ln>
                      <a:noFill/>
                    </a:ln>
                  </pic:spPr>
                </pic:pic>
              </a:graphicData>
            </a:graphic>
          </wp:inline>
        </w:drawing>
      </w:r>
    </w:p>
    <w:p w:rsidR="000F58CA" w:rsidRDefault="000F58CA" w:rsidP="00F64B7D">
      <w:pPr>
        <w:spacing w:before="60" w:after="60"/>
      </w:pPr>
    </w:p>
    <w:p w:rsidR="000F58CA" w:rsidRDefault="00847A73" w:rsidP="00F64B7D">
      <w:pPr>
        <w:spacing w:before="60" w:after="60"/>
      </w:pPr>
      <w:r>
        <w:tab/>
        <w:t>The plot appears:</w:t>
      </w:r>
    </w:p>
    <w:p w:rsidR="00847A73" w:rsidRDefault="00847A73" w:rsidP="00F64B7D">
      <w:pPr>
        <w:spacing w:before="60" w:after="60"/>
      </w:pPr>
    </w:p>
    <w:p w:rsidR="00847A73" w:rsidRDefault="00846D37" w:rsidP="00F64B7D">
      <w:pPr>
        <w:spacing w:before="60" w:after="60"/>
      </w:pPr>
      <w:r>
        <w:rPr>
          <w:noProof/>
        </w:rPr>
        <w:drawing>
          <wp:inline distT="0" distB="0" distL="0" distR="0">
            <wp:extent cx="4570095" cy="2741295"/>
            <wp:effectExtent l="0" t="0" r="1905" b="1905"/>
            <wp:docPr id="2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A73" w:rsidRDefault="00E96AF2" w:rsidP="00F64B7D">
      <w:pPr>
        <w:spacing w:before="60" w:after="60"/>
      </w:pPr>
      <w:r>
        <w:br w:type="page"/>
      </w:r>
      <w:r>
        <w:lastRenderedPageBreak/>
        <w:tab/>
        <w:t>Tweak the horizontal axis.</w:t>
      </w:r>
    </w:p>
    <w:p w:rsidR="00847A73" w:rsidRDefault="00846D37" w:rsidP="00F64B7D">
      <w:pPr>
        <w:spacing w:before="60" w:after="60"/>
      </w:pPr>
      <w:r>
        <w:rPr>
          <w:noProof/>
        </w:rPr>
        <w:drawing>
          <wp:inline distT="0" distB="0" distL="0" distR="0">
            <wp:extent cx="5941060" cy="4662170"/>
            <wp:effectExtent l="0" t="0" r="0" b="0"/>
            <wp:docPr id="29" name="Picture 29" descr="C:\Users\Vati\Desktop\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ati\Desktop\aaaaaaa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4662170"/>
                    </a:xfrm>
                    <a:prstGeom prst="rect">
                      <a:avLst/>
                    </a:prstGeom>
                    <a:noFill/>
                    <a:ln>
                      <a:noFill/>
                    </a:ln>
                  </pic:spPr>
                </pic:pic>
              </a:graphicData>
            </a:graphic>
          </wp:inline>
        </w:drawing>
      </w:r>
    </w:p>
    <w:p w:rsidR="00CE4109" w:rsidRDefault="00CE4109" w:rsidP="00F64B7D">
      <w:pPr>
        <w:spacing w:before="60" w:after="60"/>
      </w:pPr>
    </w:p>
    <w:p w:rsidR="00CE4109" w:rsidRDefault="00CE4109" w:rsidP="00F64B7D">
      <w:pPr>
        <w:spacing w:before="60" w:after="60"/>
      </w:pPr>
      <w:r>
        <w:tab/>
        <w:t>Start at 25 instead of zero.</w:t>
      </w:r>
    </w:p>
    <w:p w:rsidR="00CE4109" w:rsidRDefault="00846D37" w:rsidP="00F64B7D">
      <w:pPr>
        <w:spacing w:before="60" w:after="60"/>
      </w:pPr>
      <w:r>
        <w:rPr>
          <w:noProof/>
        </w:rPr>
        <w:drawing>
          <wp:inline distT="0" distB="0" distL="0" distR="0">
            <wp:extent cx="5941060" cy="1860550"/>
            <wp:effectExtent l="0" t="0" r="0" b="0"/>
            <wp:docPr id="32" name="Picture 32" descr="C:\Users\Vati\Desktop\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Vati\Desktop\aaaaaaaa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1860550"/>
                    </a:xfrm>
                    <a:prstGeom prst="rect">
                      <a:avLst/>
                    </a:prstGeom>
                    <a:noFill/>
                    <a:ln>
                      <a:noFill/>
                    </a:ln>
                  </pic:spPr>
                </pic:pic>
              </a:graphicData>
            </a:graphic>
          </wp:inline>
        </w:drawing>
      </w:r>
    </w:p>
    <w:p w:rsidR="00CE4109" w:rsidRDefault="00CE4109" w:rsidP="00F64B7D">
      <w:pPr>
        <w:spacing w:before="60" w:after="60"/>
      </w:pPr>
    </w:p>
    <w:p w:rsidR="00E96AF2" w:rsidRDefault="00CE4109" w:rsidP="00F64B7D">
      <w:pPr>
        <w:spacing w:before="60" w:after="60"/>
      </w:pPr>
      <w:r>
        <w:br w:type="page"/>
      </w:r>
      <w:r>
        <w:lastRenderedPageBreak/>
        <w:tab/>
        <w:t>Add Axis Titles</w:t>
      </w:r>
    </w:p>
    <w:p w:rsidR="00CE4109" w:rsidRDefault="00CE4109" w:rsidP="00F64B7D">
      <w:pPr>
        <w:spacing w:before="60" w:after="60"/>
      </w:pPr>
    </w:p>
    <w:p w:rsidR="00CE4109" w:rsidRDefault="00846D37" w:rsidP="00F64B7D">
      <w:pPr>
        <w:spacing w:before="60" w:after="60"/>
      </w:pPr>
      <w:r>
        <w:rPr>
          <w:noProof/>
        </w:rPr>
        <w:drawing>
          <wp:inline distT="0" distB="0" distL="0" distR="0">
            <wp:extent cx="5935980" cy="2981325"/>
            <wp:effectExtent l="0" t="0" r="0" b="0"/>
            <wp:docPr id="33" name="Picture 33" descr="C:\Users\Vati\Desktop\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Vati\Desktop\aaaaaaaa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2981325"/>
                    </a:xfrm>
                    <a:prstGeom prst="rect">
                      <a:avLst/>
                    </a:prstGeom>
                    <a:noFill/>
                    <a:ln>
                      <a:noFill/>
                    </a:ln>
                  </pic:spPr>
                </pic:pic>
              </a:graphicData>
            </a:graphic>
          </wp:inline>
        </w:drawing>
      </w:r>
    </w:p>
    <w:p w:rsidR="00847A73" w:rsidRDefault="00847A73" w:rsidP="00F64B7D">
      <w:pPr>
        <w:spacing w:before="60" w:after="60"/>
      </w:pPr>
    </w:p>
    <w:p w:rsidR="00CE4109" w:rsidRDefault="0038261D" w:rsidP="00F64B7D">
      <w:pPr>
        <w:spacing w:before="60" w:after="60"/>
      </w:pPr>
      <w:r>
        <w:tab/>
        <w:t>Then do the same for the vertical axis.</w:t>
      </w:r>
    </w:p>
    <w:p w:rsidR="0038261D" w:rsidRDefault="0038261D" w:rsidP="00F64B7D">
      <w:pPr>
        <w:spacing w:before="60" w:after="60"/>
      </w:pPr>
      <w:r>
        <w:br w:type="page"/>
      </w:r>
      <w:r>
        <w:lastRenderedPageBreak/>
        <w:tab/>
        <w:t>Enter a chart title.</w:t>
      </w:r>
    </w:p>
    <w:p w:rsidR="0038261D" w:rsidRDefault="00846D37" w:rsidP="00F64B7D">
      <w:pPr>
        <w:spacing w:before="60" w:after="60"/>
      </w:pPr>
      <w:r>
        <w:rPr>
          <w:noProof/>
        </w:rPr>
        <w:drawing>
          <wp:inline distT="0" distB="0" distL="0" distR="0">
            <wp:extent cx="3403600" cy="4059555"/>
            <wp:effectExtent l="0" t="0" r="0" b="0"/>
            <wp:docPr id="3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0" cy="4059555"/>
                    </a:xfrm>
                    <a:prstGeom prst="rect">
                      <a:avLst/>
                    </a:prstGeom>
                    <a:noFill/>
                    <a:ln>
                      <a:noFill/>
                    </a:ln>
                  </pic:spPr>
                </pic:pic>
              </a:graphicData>
            </a:graphic>
          </wp:inline>
        </w:drawing>
      </w:r>
    </w:p>
    <w:p w:rsidR="00CE4109" w:rsidRDefault="00CE4109" w:rsidP="00F64B7D">
      <w:pPr>
        <w:spacing w:before="60" w:after="60"/>
      </w:pPr>
    </w:p>
    <w:p w:rsidR="00AC16F6" w:rsidRDefault="00846D37" w:rsidP="00F64B7D">
      <w:pPr>
        <w:spacing w:before="60" w:after="60"/>
        <w:rPr>
          <w:noProof/>
        </w:rPr>
      </w:pPr>
      <w:r>
        <w:rPr>
          <w:noProof/>
        </w:rPr>
        <w:drawing>
          <wp:inline distT="0" distB="0" distL="0" distR="0">
            <wp:extent cx="4570095" cy="2741295"/>
            <wp:effectExtent l="0" t="0" r="1905" b="1905"/>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16F6" w:rsidRDefault="00AC16F6" w:rsidP="00F64B7D">
      <w:pPr>
        <w:spacing w:before="60" w:after="60"/>
        <w:rPr>
          <w:noProof/>
        </w:rPr>
      </w:pPr>
    </w:p>
    <w:p w:rsidR="00AC16F6" w:rsidRDefault="004678DF" w:rsidP="004678DF">
      <w:pPr>
        <w:pStyle w:val="ListParagraph"/>
        <w:numPr>
          <w:ilvl w:val="0"/>
          <w:numId w:val="1"/>
        </w:numPr>
        <w:spacing w:before="60" w:after="60"/>
        <w:rPr>
          <w:noProof/>
        </w:rPr>
      </w:pPr>
      <w:hyperlink r:id="rId16" w:history="1">
        <w:r w:rsidRPr="004678DF">
          <w:rPr>
            <w:rStyle w:val="Hyperlink"/>
            <w:noProof/>
          </w:rPr>
          <w:t>Download the Excel file used here</w:t>
        </w:r>
      </w:hyperlink>
    </w:p>
    <w:p w:rsidR="004678DF" w:rsidRDefault="004678DF" w:rsidP="004678DF">
      <w:pPr>
        <w:pStyle w:val="ListParagraph"/>
        <w:numPr>
          <w:ilvl w:val="0"/>
          <w:numId w:val="1"/>
        </w:numPr>
        <w:spacing w:before="60" w:after="60"/>
        <w:rPr>
          <w:noProof/>
        </w:rPr>
      </w:pPr>
      <w:hyperlink r:id="rId17" w:history="1">
        <w:r w:rsidRPr="004678DF">
          <w:rPr>
            <w:rStyle w:val="Hyperlink"/>
            <w:noProof/>
          </w:rPr>
          <w:t>Visit Wuensch’s Stat Help Page</w:t>
        </w:r>
      </w:hyperlink>
    </w:p>
    <w:p w:rsidR="00AC16F6" w:rsidRDefault="004678DF" w:rsidP="00F64B7D">
      <w:pPr>
        <w:spacing w:before="60" w:after="60"/>
      </w:pPr>
      <w:hyperlink r:id="rId18" w:history="1">
        <w:r w:rsidRPr="004678DF">
          <w:rPr>
            <w:rStyle w:val="Hyperlink"/>
          </w:rPr>
          <w:t>Karl L. Wuensch</w:t>
        </w:r>
      </w:hyperlink>
      <w:bookmarkStart w:id="0" w:name="_GoBack"/>
      <w:bookmarkEnd w:id="0"/>
      <w:r>
        <w:t>, 28. January, 2011</w:t>
      </w:r>
    </w:p>
    <w:sectPr w:rsidR="00AC16F6" w:rsidSect="00DC0E6D">
      <w:pgSz w:w="12240" w:h="15840"/>
      <w:pgMar w:top="1440" w:right="1440" w:bottom="1440" w:left="144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5F4"/>
    <w:multiLevelType w:val="hybridMultilevel"/>
    <w:tmpl w:val="8C6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F4"/>
    <w:rsid w:val="000314FF"/>
    <w:rsid w:val="000F58CA"/>
    <w:rsid w:val="00100CD4"/>
    <w:rsid w:val="00142088"/>
    <w:rsid w:val="00205D88"/>
    <w:rsid w:val="0025682C"/>
    <w:rsid w:val="002A0E21"/>
    <w:rsid w:val="0038261D"/>
    <w:rsid w:val="004466C0"/>
    <w:rsid w:val="004678DF"/>
    <w:rsid w:val="00522953"/>
    <w:rsid w:val="00563110"/>
    <w:rsid w:val="005945E4"/>
    <w:rsid w:val="006550F4"/>
    <w:rsid w:val="007063B1"/>
    <w:rsid w:val="007245C5"/>
    <w:rsid w:val="00732E0B"/>
    <w:rsid w:val="00755966"/>
    <w:rsid w:val="007E15B0"/>
    <w:rsid w:val="00837DE6"/>
    <w:rsid w:val="00846D37"/>
    <w:rsid w:val="00847A73"/>
    <w:rsid w:val="0086188A"/>
    <w:rsid w:val="009553C6"/>
    <w:rsid w:val="009E5BA1"/>
    <w:rsid w:val="00A62ABD"/>
    <w:rsid w:val="00AC16F6"/>
    <w:rsid w:val="00B33A0B"/>
    <w:rsid w:val="00BC376B"/>
    <w:rsid w:val="00C04A22"/>
    <w:rsid w:val="00CC6ABE"/>
    <w:rsid w:val="00CE4109"/>
    <w:rsid w:val="00D87252"/>
    <w:rsid w:val="00DC0E6D"/>
    <w:rsid w:val="00E35BBD"/>
    <w:rsid w:val="00E96AF2"/>
    <w:rsid w:val="00F17963"/>
    <w:rsid w:val="00F64B7D"/>
    <w:rsid w:val="00F8165D"/>
    <w:rsid w:val="00FA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table" w:styleId="TableGrid">
    <w:name w:val="Table Grid"/>
    <w:basedOn w:val="TableNormal"/>
    <w:rsid w:val="0065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5966"/>
    <w:rPr>
      <w:color w:val="0000FF"/>
      <w:u w:val="single"/>
    </w:rPr>
  </w:style>
  <w:style w:type="paragraph" w:styleId="NormalWeb">
    <w:name w:val="Normal (Web)"/>
    <w:basedOn w:val="Normal"/>
    <w:rsid w:val="00DC0E6D"/>
    <w:pPr>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basedOn w:val="DefaultParagraphFont"/>
    <w:rsid w:val="00563110"/>
    <w:rPr>
      <w:color w:val="800080" w:themeColor="followedHyperlink"/>
      <w:u w:val="single"/>
    </w:rPr>
  </w:style>
  <w:style w:type="paragraph" w:styleId="ListParagraph">
    <w:name w:val="List Paragraph"/>
    <w:basedOn w:val="Normal"/>
    <w:uiPriority w:val="34"/>
    <w:qFormat/>
    <w:rsid w:val="00467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table" w:styleId="TableGrid">
    <w:name w:val="Table Grid"/>
    <w:basedOn w:val="TableNormal"/>
    <w:rsid w:val="0065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5966"/>
    <w:rPr>
      <w:color w:val="0000FF"/>
      <w:u w:val="single"/>
    </w:rPr>
  </w:style>
  <w:style w:type="paragraph" w:styleId="NormalWeb">
    <w:name w:val="Normal (Web)"/>
    <w:basedOn w:val="Normal"/>
    <w:rsid w:val="00DC0E6D"/>
    <w:pPr>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basedOn w:val="DefaultParagraphFont"/>
    <w:rsid w:val="00563110"/>
    <w:rPr>
      <w:color w:val="800080" w:themeColor="followedHyperlink"/>
      <w:u w:val="single"/>
    </w:rPr>
  </w:style>
  <w:style w:type="paragraph" w:styleId="ListParagraph">
    <w:name w:val="List Paragraph"/>
    <w:basedOn w:val="Normal"/>
    <w:uiPriority w:val="34"/>
    <w:qFormat/>
    <w:rsid w:val="00467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core.ecu.edu/psyc/WuenschK/KLW.ht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core.ecu.edu/psyc/wuenschk/StatHelp/StatHelp.htm" TargetMode="External"/><Relationship Id="rId2" Type="http://schemas.openxmlformats.org/officeDocument/2006/relationships/styles" Target="styles.xml"/><Relationship Id="rId16" Type="http://schemas.openxmlformats.org/officeDocument/2006/relationships/hyperlink" Target="Excel-InteractionPlot.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u.edu/psyc/"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Vati\Desktop\InteractionPlo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ati\Desktop\InteractionPlo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Sheet1!$A$2</c:f>
              <c:strCache>
                <c:ptCount val="1"/>
                <c:pt idx="0">
                  <c:v>carolinus</c:v>
                </c:pt>
              </c:strCache>
            </c:strRef>
          </c:tx>
          <c:cat>
            <c:numRef>
              <c:f>Sheet1!$B$1:$F$1</c:f>
              <c:numCache>
                <c:formatCode>General</c:formatCode>
                <c:ptCount val="5"/>
                <c:pt idx="0">
                  <c:v>5</c:v>
                </c:pt>
                <c:pt idx="1">
                  <c:v>10</c:v>
                </c:pt>
                <c:pt idx="2">
                  <c:v>15</c:v>
                </c:pt>
                <c:pt idx="3">
                  <c:v>20</c:v>
                </c:pt>
                <c:pt idx="4">
                  <c:v>25</c:v>
                </c:pt>
              </c:numCache>
            </c:numRef>
          </c:cat>
          <c:val>
            <c:numRef>
              <c:f>Sheet1!$B$2:$F$2</c:f>
              <c:numCache>
                <c:formatCode>General</c:formatCode>
                <c:ptCount val="5"/>
                <c:pt idx="0">
                  <c:v>31.8</c:v>
                </c:pt>
                <c:pt idx="1">
                  <c:v>54.2</c:v>
                </c:pt>
                <c:pt idx="2">
                  <c:v>72.599999999999994</c:v>
                </c:pt>
                <c:pt idx="3">
                  <c:v>72.400000000000006</c:v>
                </c:pt>
                <c:pt idx="4">
                  <c:v>40.200000000000003</c:v>
                </c:pt>
              </c:numCache>
            </c:numRef>
          </c:val>
          <c:smooth val="0"/>
        </c:ser>
        <c:ser>
          <c:idx val="1"/>
          <c:order val="1"/>
          <c:tx>
            <c:strRef>
              <c:f>Sheet1!$A$3</c:f>
              <c:strCache>
                <c:ptCount val="1"/>
                <c:pt idx="0">
                  <c:v>pennsylvanicus</c:v>
                </c:pt>
              </c:strCache>
            </c:strRef>
          </c:tx>
          <c:cat>
            <c:numRef>
              <c:f>Sheet1!$B$1:$F$1</c:f>
              <c:numCache>
                <c:formatCode>General</c:formatCode>
                <c:ptCount val="5"/>
                <c:pt idx="0">
                  <c:v>5</c:v>
                </c:pt>
                <c:pt idx="1">
                  <c:v>10</c:v>
                </c:pt>
                <c:pt idx="2">
                  <c:v>15</c:v>
                </c:pt>
                <c:pt idx="3">
                  <c:v>20</c:v>
                </c:pt>
                <c:pt idx="4">
                  <c:v>25</c:v>
                </c:pt>
              </c:numCache>
            </c:numRef>
          </c:cat>
          <c:val>
            <c:numRef>
              <c:f>Sheet1!$B$3:$F$3</c:f>
              <c:numCache>
                <c:formatCode>General</c:formatCode>
                <c:ptCount val="5"/>
                <c:pt idx="0">
                  <c:v>76.8</c:v>
                </c:pt>
                <c:pt idx="1">
                  <c:v>59.2</c:v>
                </c:pt>
                <c:pt idx="2">
                  <c:v>67.599999999999994</c:v>
                </c:pt>
                <c:pt idx="3">
                  <c:v>92.8</c:v>
                </c:pt>
                <c:pt idx="4">
                  <c:v>50</c:v>
                </c:pt>
              </c:numCache>
            </c:numRef>
          </c:val>
          <c:smooth val="0"/>
        </c:ser>
        <c:ser>
          <c:idx val="2"/>
          <c:order val="2"/>
          <c:tx>
            <c:strRef>
              <c:f>Sheet1!$A$4</c:f>
              <c:strCache>
                <c:ptCount val="1"/>
                <c:pt idx="0">
                  <c:v>tropicalis</c:v>
                </c:pt>
              </c:strCache>
            </c:strRef>
          </c:tx>
          <c:cat>
            <c:numRef>
              <c:f>Sheet1!$B$1:$F$1</c:f>
              <c:numCache>
                <c:formatCode>General</c:formatCode>
                <c:ptCount val="5"/>
                <c:pt idx="0">
                  <c:v>5</c:v>
                </c:pt>
                <c:pt idx="1">
                  <c:v>10</c:v>
                </c:pt>
                <c:pt idx="2">
                  <c:v>15</c:v>
                </c:pt>
                <c:pt idx="3">
                  <c:v>20</c:v>
                </c:pt>
                <c:pt idx="4">
                  <c:v>25</c:v>
                </c:pt>
              </c:numCache>
            </c:numRef>
          </c:cat>
          <c:val>
            <c:numRef>
              <c:f>Sheet1!$B$4:$F$4</c:f>
              <c:numCache>
                <c:formatCode>General</c:formatCode>
                <c:ptCount val="5"/>
                <c:pt idx="0">
                  <c:v>63</c:v>
                </c:pt>
                <c:pt idx="1">
                  <c:v>71.2</c:v>
                </c:pt>
                <c:pt idx="2">
                  <c:v>83.2</c:v>
                </c:pt>
                <c:pt idx="3">
                  <c:v>82.6</c:v>
                </c:pt>
                <c:pt idx="4">
                  <c:v>90.8</c:v>
                </c:pt>
              </c:numCache>
            </c:numRef>
          </c:val>
          <c:smooth val="0"/>
        </c:ser>
        <c:dLbls>
          <c:showLegendKey val="0"/>
          <c:showVal val="0"/>
          <c:showCatName val="0"/>
          <c:showSerName val="0"/>
          <c:showPercent val="0"/>
          <c:showBubbleSize val="0"/>
        </c:dLbls>
        <c:marker val="1"/>
        <c:smooth val="0"/>
        <c:axId val="153610496"/>
        <c:axId val="154411008"/>
      </c:lineChart>
      <c:catAx>
        <c:axId val="153610496"/>
        <c:scaling>
          <c:orientation val="minMax"/>
        </c:scaling>
        <c:delete val="0"/>
        <c:axPos val="b"/>
        <c:numFmt formatCode="General" sourceLinked="1"/>
        <c:majorTickMark val="out"/>
        <c:minorTickMark val="none"/>
        <c:tickLblPos val="nextTo"/>
        <c:crossAx val="154411008"/>
        <c:crosses val="autoZero"/>
        <c:auto val="1"/>
        <c:lblAlgn val="ctr"/>
        <c:lblOffset val="100"/>
        <c:noMultiLvlLbl val="0"/>
      </c:catAx>
      <c:valAx>
        <c:axId val="154411008"/>
        <c:scaling>
          <c:orientation val="minMax"/>
        </c:scaling>
        <c:delete val="0"/>
        <c:axPos val="l"/>
        <c:majorGridlines/>
        <c:numFmt formatCode="General" sourceLinked="1"/>
        <c:majorTickMark val="out"/>
        <c:minorTickMark val="none"/>
        <c:tickLblPos val="nextTo"/>
        <c:crossAx val="1536104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Activity Related to Temperature in Three</a:t>
            </a:r>
            <a:r>
              <a:rPr lang="en-US" baseline="0"/>
              <a:t> Species of </a:t>
            </a:r>
            <a:r>
              <a:rPr lang="en-US" i="1" baseline="0"/>
              <a:t>Amanda</a:t>
            </a:r>
            <a:endParaRPr lang="en-US" i="1"/>
          </a:p>
        </c:rich>
      </c:tx>
      <c:layout>
        <c:manualLayout>
          <c:xMode val="edge"/>
          <c:yMode val="edge"/>
          <c:x val="0.1378611111111111"/>
          <c:y val="2.7777777777777776E-2"/>
        </c:manualLayout>
      </c:layout>
      <c:overlay val="0"/>
    </c:title>
    <c:autoTitleDeleted val="0"/>
    <c:plotArea>
      <c:layout/>
      <c:lineChart>
        <c:grouping val="standard"/>
        <c:varyColors val="0"/>
        <c:ser>
          <c:idx val="0"/>
          <c:order val="0"/>
          <c:tx>
            <c:strRef>
              <c:f>Sheet1!$A$2</c:f>
              <c:strCache>
                <c:ptCount val="1"/>
                <c:pt idx="0">
                  <c:v>carolinus</c:v>
                </c:pt>
              </c:strCache>
            </c:strRef>
          </c:tx>
          <c:cat>
            <c:numRef>
              <c:f>Sheet1!$B$1:$F$1</c:f>
              <c:numCache>
                <c:formatCode>General</c:formatCode>
                <c:ptCount val="5"/>
                <c:pt idx="0">
                  <c:v>5</c:v>
                </c:pt>
                <c:pt idx="1">
                  <c:v>10</c:v>
                </c:pt>
                <c:pt idx="2">
                  <c:v>15</c:v>
                </c:pt>
                <c:pt idx="3">
                  <c:v>20</c:v>
                </c:pt>
                <c:pt idx="4">
                  <c:v>25</c:v>
                </c:pt>
              </c:numCache>
            </c:numRef>
          </c:cat>
          <c:val>
            <c:numRef>
              <c:f>Sheet1!$B$2:$F$2</c:f>
              <c:numCache>
                <c:formatCode>General</c:formatCode>
                <c:ptCount val="5"/>
                <c:pt idx="0">
                  <c:v>31.8</c:v>
                </c:pt>
                <c:pt idx="1">
                  <c:v>54.2</c:v>
                </c:pt>
                <c:pt idx="2">
                  <c:v>72.599999999999994</c:v>
                </c:pt>
                <c:pt idx="3">
                  <c:v>72.400000000000006</c:v>
                </c:pt>
                <c:pt idx="4">
                  <c:v>40.200000000000003</c:v>
                </c:pt>
              </c:numCache>
            </c:numRef>
          </c:val>
          <c:smooth val="0"/>
        </c:ser>
        <c:ser>
          <c:idx val="1"/>
          <c:order val="1"/>
          <c:tx>
            <c:strRef>
              <c:f>Sheet1!$A$3</c:f>
              <c:strCache>
                <c:ptCount val="1"/>
                <c:pt idx="0">
                  <c:v>pennsylvanicus</c:v>
                </c:pt>
              </c:strCache>
            </c:strRef>
          </c:tx>
          <c:cat>
            <c:numRef>
              <c:f>Sheet1!$B$1:$F$1</c:f>
              <c:numCache>
                <c:formatCode>General</c:formatCode>
                <c:ptCount val="5"/>
                <c:pt idx="0">
                  <c:v>5</c:v>
                </c:pt>
                <c:pt idx="1">
                  <c:v>10</c:v>
                </c:pt>
                <c:pt idx="2">
                  <c:v>15</c:v>
                </c:pt>
                <c:pt idx="3">
                  <c:v>20</c:v>
                </c:pt>
                <c:pt idx="4">
                  <c:v>25</c:v>
                </c:pt>
              </c:numCache>
            </c:numRef>
          </c:cat>
          <c:val>
            <c:numRef>
              <c:f>Sheet1!$B$3:$F$3</c:f>
              <c:numCache>
                <c:formatCode>General</c:formatCode>
                <c:ptCount val="5"/>
                <c:pt idx="0">
                  <c:v>76.8</c:v>
                </c:pt>
                <c:pt idx="1">
                  <c:v>59.2</c:v>
                </c:pt>
                <c:pt idx="2">
                  <c:v>67.599999999999994</c:v>
                </c:pt>
                <c:pt idx="3">
                  <c:v>92.8</c:v>
                </c:pt>
                <c:pt idx="4">
                  <c:v>50</c:v>
                </c:pt>
              </c:numCache>
            </c:numRef>
          </c:val>
          <c:smooth val="0"/>
        </c:ser>
        <c:ser>
          <c:idx val="2"/>
          <c:order val="2"/>
          <c:tx>
            <c:strRef>
              <c:f>Sheet1!$A$4</c:f>
              <c:strCache>
                <c:ptCount val="1"/>
                <c:pt idx="0">
                  <c:v>tropicalis</c:v>
                </c:pt>
              </c:strCache>
            </c:strRef>
          </c:tx>
          <c:cat>
            <c:numRef>
              <c:f>Sheet1!$B$1:$F$1</c:f>
              <c:numCache>
                <c:formatCode>General</c:formatCode>
                <c:ptCount val="5"/>
                <c:pt idx="0">
                  <c:v>5</c:v>
                </c:pt>
                <c:pt idx="1">
                  <c:v>10</c:v>
                </c:pt>
                <c:pt idx="2">
                  <c:v>15</c:v>
                </c:pt>
                <c:pt idx="3">
                  <c:v>20</c:v>
                </c:pt>
                <c:pt idx="4">
                  <c:v>25</c:v>
                </c:pt>
              </c:numCache>
            </c:numRef>
          </c:cat>
          <c:val>
            <c:numRef>
              <c:f>Sheet1!$B$4:$F$4</c:f>
              <c:numCache>
                <c:formatCode>General</c:formatCode>
                <c:ptCount val="5"/>
                <c:pt idx="0">
                  <c:v>63</c:v>
                </c:pt>
                <c:pt idx="1">
                  <c:v>71.2</c:v>
                </c:pt>
                <c:pt idx="2">
                  <c:v>83.2</c:v>
                </c:pt>
                <c:pt idx="3">
                  <c:v>82.6</c:v>
                </c:pt>
                <c:pt idx="4">
                  <c:v>90.8</c:v>
                </c:pt>
              </c:numCache>
            </c:numRef>
          </c:val>
          <c:smooth val="0"/>
        </c:ser>
        <c:dLbls>
          <c:showLegendKey val="0"/>
          <c:showVal val="0"/>
          <c:showCatName val="0"/>
          <c:showSerName val="0"/>
          <c:showPercent val="0"/>
          <c:showBubbleSize val="0"/>
        </c:dLbls>
        <c:marker val="1"/>
        <c:smooth val="0"/>
        <c:axId val="154604672"/>
        <c:axId val="154606592"/>
      </c:lineChart>
      <c:catAx>
        <c:axId val="154604672"/>
        <c:scaling>
          <c:orientation val="minMax"/>
        </c:scaling>
        <c:delete val="0"/>
        <c:axPos val="b"/>
        <c:title>
          <c:tx>
            <c:rich>
              <a:bodyPr/>
              <a:lstStyle/>
              <a:p>
                <a:pPr>
                  <a:defRPr/>
                </a:pPr>
                <a:r>
                  <a:rPr lang="en-US" sz="1400"/>
                  <a:t>Temperature (</a:t>
                </a:r>
                <a:r>
                  <a:rPr lang="en-US" sz="1400">
                    <a:sym typeface="Symbol"/>
                  </a:rPr>
                  <a:t>Celsius)</a:t>
                </a:r>
                <a:endParaRPr lang="en-US" sz="1400"/>
              </a:p>
            </c:rich>
          </c:tx>
          <c:layout>
            <c:manualLayout>
              <c:xMode val="edge"/>
              <c:yMode val="edge"/>
              <c:x val="0.24165332458442695"/>
              <c:y val="0.88083333333333336"/>
            </c:manualLayout>
          </c:layout>
          <c:overlay val="0"/>
        </c:title>
        <c:numFmt formatCode="General" sourceLinked="1"/>
        <c:majorTickMark val="out"/>
        <c:minorTickMark val="none"/>
        <c:tickLblPos val="nextTo"/>
        <c:crossAx val="154606592"/>
        <c:crosses val="autoZero"/>
        <c:auto val="1"/>
        <c:lblAlgn val="ctr"/>
        <c:lblOffset val="100"/>
        <c:noMultiLvlLbl val="0"/>
      </c:catAx>
      <c:valAx>
        <c:axId val="154606592"/>
        <c:scaling>
          <c:orientation val="minMax"/>
          <c:min val="25"/>
        </c:scaling>
        <c:delete val="0"/>
        <c:axPos val="l"/>
        <c:majorGridlines/>
        <c:title>
          <c:tx>
            <c:rich>
              <a:bodyPr rot="0" vert="wordArtVert"/>
              <a:lstStyle/>
              <a:p>
                <a:pPr>
                  <a:defRPr/>
                </a:pPr>
                <a:r>
                  <a:rPr lang="en-US"/>
                  <a:t>Activity</a:t>
                </a:r>
              </a:p>
            </c:rich>
          </c:tx>
          <c:overlay val="0"/>
        </c:title>
        <c:numFmt formatCode="General" sourceLinked="1"/>
        <c:majorTickMark val="out"/>
        <c:minorTickMark val="none"/>
        <c:tickLblPos val="nextTo"/>
        <c:crossAx val="1546046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6</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You want to prepare an interaction plot that looks better than the crude one produced by PROC PLOT in SAS</vt:lpstr>
    </vt:vector>
  </TitlesOfParts>
  <Company>Microsoft</Company>
  <LinksUpToDate>false</LinksUpToDate>
  <CharactersWithSpaces>1411</CharactersWithSpaces>
  <SharedDoc>false</SharedDoc>
  <HLinks>
    <vt:vector size="18" baseType="variant">
      <vt:variant>
        <vt:i4>8060971</vt:i4>
      </vt:variant>
      <vt:variant>
        <vt:i4>6</vt:i4>
      </vt:variant>
      <vt:variant>
        <vt:i4>0</vt:i4>
      </vt:variant>
      <vt:variant>
        <vt:i4>5</vt:i4>
      </vt:variant>
      <vt:variant>
        <vt:lpwstr>http://core.ecu.edu/psyc/wuenschk/Computing.htm</vt:lpwstr>
      </vt:variant>
      <vt:variant>
        <vt:lpwstr/>
      </vt:variant>
      <vt:variant>
        <vt:i4>852038</vt:i4>
      </vt:variant>
      <vt:variant>
        <vt:i4>3</vt:i4>
      </vt:variant>
      <vt:variant>
        <vt:i4>0</vt:i4>
      </vt:variant>
      <vt:variant>
        <vt:i4>5</vt:i4>
      </vt:variant>
      <vt:variant>
        <vt:lpwstr>http://www.ecu.edu/psyc/</vt:lpwstr>
      </vt:variant>
      <vt:variant>
        <vt:lpwstr/>
      </vt:variant>
      <vt:variant>
        <vt:i4>2818169</vt:i4>
      </vt:variant>
      <vt:variant>
        <vt:i4>0</vt:i4>
      </vt:variant>
      <vt:variant>
        <vt:i4>0</vt:i4>
      </vt:variant>
      <vt:variant>
        <vt:i4>5</vt:i4>
      </vt:variant>
      <vt:variant>
        <vt:lpwstr>http://www.ecu.edu/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want to prepare an interaction plot that looks better than the crude one produced by PROC PLOT in SAS</dc:title>
  <dc:creator>Karl L. Wuensch</dc:creator>
  <cp:lastModifiedBy>Karl L. Wuensch</cp:lastModifiedBy>
  <cp:revision>3</cp:revision>
  <cp:lastPrinted>2007-02-10T15:47:00Z</cp:lastPrinted>
  <dcterms:created xsi:type="dcterms:W3CDTF">2011-01-29T01:42:00Z</dcterms:created>
  <dcterms:modified xsi:type="dcterms:W3CDTF">2011-01-29T02:01:00Z</dcterms:modified>
</cp:coreProperties>
</file>